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A62" w:rsidRDefault="00122A62" w:rsidP="00122A62">
      <w:pPr>
        <w:widowControl w:val="0"/>
        <w:autoSpaceDE w:val="0"/>
        <w:autoSpaceDN w:val="0"/>
        <w:adjustRightInd w:val="0"/>
      </w:pPr>
      <w:bookmarkStart w:id="0" w:name="_GoBack"/>
      <w:bookmarkEnd w:id="0"/>
    </w:p>
    <w:p w:rsidR="00122A62" w:rsidRDefault="00122A62" w:rsidP="00122A62">
      <w:pPr>
        <w:widowControl w:val="0"/>
        <w:autoSpaceDE w:val="0"/>
        <w:autoSpaceDN w:val="0"/>
        <w:adjustRightInd w:val="0"/>
      </w:pPr>
      <w:r>
        <w:rPr>
          <w:b/>
          <w:bCs/>
        </w:rPr>
        <w:t>Section 130.592  Omission of Substantially Identical Documents</w:t>
      </w:r>
      <w:r>
        <w:t xml:space="preserve"> </w:t>
      </w:r>
    </w:p>
    <w:p w:rsidR="00122A62" w:rsidRDefault="00122A62" w:rsidP="00122A62">
      <w:pPr>
        <w:widowControl w:val="0"/>
        <w:autoSpaceDE w:val="0"/>
        <w:autoSpaceDN w:val="0"/>
        <w:adjustRightInd w:val="0"/>
      </w:pPr>
    </w:p>
    <w:p w:rsidR="00122A62" w:rsidRDefault="00122A62" w:rsidP="00122A62">
      <w:pPr>
        <w:widowControl w:val="0"/>
        <w:autoSpaceDE w:val="0"/>
        <w:autoSpaceDN w:val="0"/>
        <w:adjustRightInd w:val="0"/>
      </w:pPr>
      <w:r>
        <w:t xml:space="preserve">In any case where two or more indentures, contracts, franchises or other documents required to be filed as exhibits are substantially identical in all material respects except as to the parties thereto, the dates of execution or other details, the registrant need file a copy of only one of such documents with a schedule identifying the other documents omitted and setting forth the material details in which the documents differ from the document of which a copy is filed.  The Secretary of State may at any time in his discretion require the filing of copies of any documents so omitted. </w:t>
      </w:r>
    </w:p>
    <w:sectPr w:rsidR="00122A62" w:rsidSect="00122A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2A62"/>
    <w:rsid w:val="000D509F"/>
    <w:rsid w:val="00122A62"/>
    <w:rsid w:val="001678D1"/>
    <w:rsid w:val="00696ABD"/>
    <w:rsid w:val="00BA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