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FC" w:rsidRDefault="001D4FFC" w:rsidP="001D4F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4FFC" w:rsidRDefault="001D4FFC" w:rsidP="001D4F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130.501  Title of Securities</w:t>
      </w:r>
      <w:r>
        <w:t xml:space="preserve"> </w:t>
      </w:r>
    </w:p>
    <w:p w:rsidR="001D4FFC" w:rsidRDefault="001D4FFC" w:rsidP="001D4FFC">
      <w:pPr>
        <w:widowControl w:val="0"/>
        <w:autoSpaceDE w:val="0"/>
        <w:autoSpaceDN w:val="0"/>
        <w:adjustRightInd w:val="0"/>
      </w:pPr>
    </w:p>
    <w:p w:rsidR="001D4FFC" w:rsidRDefault="001D4FFC" w:rsidP="001D4FFC">
      <w:pPr>
        <w:widowControl w:val="0"/>
        <w:autoSpaceDE w:val="0"/>
        <w:autoSpaceDN w:val="0"/>
        <w:adjustRightInd w:val="0"/>
      </w:pPr>
      <w:r>
        <w:t xml:space="preserve">Wherever the title of securities is required to be stated there shall be given such information as will indicate the type and general character of the securities, including the following: </w:t>
      </w:r>
    </w:p>
    <w:p w:rsidR="00ED2E0B" w:rsidRDefault="00ED2E0B" w:rsidP="001D4FFC">
      <w:pPr>
        <w:widowControl w:val="0"/>
        <w:autoSpaceDE w:val="0"/>
        <w:autoSpaceDN w:val="0"/>
        <w:adjustRightInd w:val="0"/>
      </w:pPr>
    </w:p>
    <w:p w:rsidR="001D4FFC" w:rsidRDefault="001D4FFC" w:rsidP="001D4F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case of shares, the par or stated value, if any; the rate of dividends, if fixed, and whether cumulative or </w:t>
      </w:r>
      <w:proofErr w:type="spellStart"/>
      <w:r>
        <w:t>noncumulative</w:t>
      </w:r>
      <w:proofErr w:type="spellEnd"/>
      <w:r>
        <w:t xml:space="preserve">; a brief indication of the preference, if any; and if convertible, a statement to that effect. </w:t>
      </w:r>
    </w:p>
    <w:p w:rsidR="00ED2E0B" w:rsidRDefault="00ED2E0B" w:rsidP="001D4FFC">
      <w:pPr>
        <w:widowControl w:val="0"/>
        <w:autoSpaceDE w:val="0"/>
        <w:autoSpaceDN w:val="0"/>
        <w:adjustRightInd w:val="0"/>
        <w:ind w:left="1440" w:hanging="720"/>
      </w:pPr>
    </w:p>
    <w:p w:rsidR="001D4FFC" w:rsidRDefault="001D4FFC" w:rsidP="001D4F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case of funded debt, the rate of interest; the date of maturity, or if the issue matures serially, a brief indication of the serial maturities, such as "maturing serially from 1980 to 1990"; if the payment of principal or interest is contingent, an appropriate indication of such contingency, a brief indication of the priority of the issue; and if convertible, a statement to that effect. </w:t>
      </w:r>
    </w:p>
    <w:p w:rsidR="00ED2E0B" w:rsidRDefault="00ED2E0B" w:rsidP="001D4FFC">
      <w:pPr>
        <w:widowControl w:val="0"/>
        <w:autoSpaceDE w:val="0"/>
        <w:autoSpaceDN w:val="0"/>
        <w:adjustRightInd w:val="0"/>
        <w:ind w:left="1440" w:hanging="720"/>
      </w:pPr>
    </w:p>
    <w:p w:rsidR="001D4FFC" w:rsidRDefault="001D4FFC" w:rsidP="001D4FF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case of any other kind of security, appropriate information of comparable character. </w:t>
      </w:r>
    </w:p>
    <w:sectPr w:rsidR="001D4FFC" w:rsidSect="001D4F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4FFC"/>
    <w:rsid w:val="001678D1"/>
    <w:rsid w:val="001D4FFC"/>
    <w:rsid w:val="00501320"/>
    <w:rsid w:val="005E41FB"/>
    <w:rsid w:val="00606CA9"/>
    <w:rsid w:val="00ED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