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24" w:rsidRDefault="00460024" w:rsidP="004600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0024" w:rsidRDefault="00460024" w:rsidP="004600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204.140  Findings of Fact and Conclusions of Law</w:t>
      </w:r>
      <w:r>
        <w:t xml:space="preserve"> </w:t>
      </w:r>
    </w:p>
    <w:p w:rsidR="00460024" w:rsidRDefault="00460024" w:rsidP="00460024">
      <w:pPr>
        <w:widowControl w:val="0"/>
        <w:autoSpaceDE w:val="0"/>
        <w:autoSpaceDN w:val="0"/>
        <w:adjustRightInd w:val="0"/>
      </w:pPr>
    </w:p>
    <w:p w:rsidR="00460024" w:rsidRDefault="00460024" w:rsidP="00460024">
      <w:pPr>
        <w:widowControl w:val="0"/>
        <w:autoSpaceDE w:val="0"/>
        <w:autoSpaceDN w:val="0"/>
        <w:adjustRightInd w:val="0"/>
      </w:pPr>
      <w:r>
        <w:t xml:space="preserve">Orders of the Board disposing of contested matters upon the merits shall set forth the Board's findings of fact and conclusions of law and shall be served by certified mail. </w:t>
      </w:r>
    </w:p>
    <w:p w:rsidR="00460024" w:rsidRDefault="00460024" w:rsidP="00460024">
      <w:pPr>
        <w:widowControl w:val="0"/>
        <w:autoSpaceDE w:val="0"/>
        <w:autoSpaceDN w:val="0"/>
        <w:adjustRightInd w:val="0"/>
      </w:pPr>
    </w:p>
    <w:p w:rsidR="00460024" w:rsidRDefault="00460024" w:rsidP="004600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10806, effective July 1, 2002) </w:t>
      </w:r>
    </w:p>
    <w:sectPr w:rsidR="00460024" w:rsidSect="004600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024"/>
    <w:rsid w:val="001678D1"/>
    <w:rsid w:val="003748F0"/>
    <w:rsid w:val="00460024"/>
    <w:rsid w:val="009B6E24"/>
    <w:rsid w:val="00C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204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