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C0" w:rsidRDefault="00D22DC0" w:rsidP="00D22DC0">
      <w:pPr>
        <w:pBdr>
          <w:top w:val="nil"/>
          <w:left w:val="nil"/>
          <w:bottom w:val="nil"/>
          <w:right w:val="nil"/>
          <w:between w:val="nil"/>
          <w:bar w:val="nil"/>
        </w:pBdr>
        <w:rPr>
          <w:rFonts w:ascii="Times New Roman Bold" w:eastAsia="Arial Unicode MS" w:hAnsi="Arial Unicode MS" w:cs="Arial Unicode MS"/>
          <w:color w:val="000000"/>
          <w:sz w:val="24"/>
          <w:u w:color="000000"/>
          <w:bdr w:val="nil"/>
        </w:rPr>
      </w:pPr>
    </w:p>
    <w:p w:rsidR="00D22DC0" w:rsidRDefault="00D22DC0" w:rsidP="00D22DC0">
      <w:pPr>
        <w:pBdr>
          <w:top w:val="nil"/>
          <w:left w:val="nil"/>
          <w:bottom w:val="nil"/>
          <w:right w:val="nil"/>
          <w:between w:val="nil"/>
          <w:bar w:val="nil"/>
        </w:pBdr>
        <w:rPr>
          <w:rFonts w:ascii="Times New Roman Bold" w:eastAsia="Arial Unicode MS" w:hAnsi="Arial Unicode MS" w:cs="Arial Unicode MS"/>
          <w:color w:val="000000"/>
          <w:sz w:val="24"/>
          <w:u w:color="000000"/>
          <w:bdr w:val="nil"/>
        </w:rPr>
      </w:pPr>
      <w:r w:rsidRPr="00D03C6B">
        <w:rPr>
          <w:rFonts w:ascii="Times New Roman Bold" w:eastAsia="Arial Unicode MS" w:hAnsi="Arial Unicode MS" w:cs="Arial Unicode MS"/>
          <w:color w:val="000000"/>
          <w:sz w:val="24"/>
          <w:u w:color="000000"/>
          <w:bdr w:val="nil"/>
        </w:rPr>
        <w:t>Section 1000.160</w:t>
      </w:r>
      <w:r>
        <w:rPr>
          <w:rFonts w:ascii="Times New Roman Bold" w:eastAsia="Arial Unicode MS" w:hAnsi="Arial Unicode MS" w:cs="Arial Unicode MS"/>
          <w:color w:val="000000"/>
          <w:sz w:val="24"/>
          <w:u w:color="000000"/>
          <w:bdr w:val="nil"/>
        </w:rPr>
        <w:t xml:space="preserve">  </w:t>
      </w:r>
      <w:r w:rsidRPr="00D03C6B">
        <w:rPr>
          <w:rFonts w:ascii="Times New Roman Bold" w:eastAsia="Arial Unicode MS" w:hAnsi="Arial Unicode MS" w:cs="Arial Unicode MS"/>
          <w:color w:val="000000"/>
          <w:sz w:val="24"/>
          <w:u w:color="000000"/>
          <w:bdr w:val="nil"/>
        </w:rPr>
        <w:t>Denial of Cultivation Center Application/Susp</w:t>
      </w:r>
      <w:r>
        <w:rPr>
          <w:rFonts w:ascii="Times New Roman Bold" w:eastAsia="Arial Unicode MS" w:hAnsi="Arial Unicode MS" w:cs="Arial Unicode MS"/>
          <w:color w:val="000000"/>
          <w:sz w:val="24"/>
          <w:u w:color="000000"/>
          <w:bdr w:val="nil"/>
        </w:rPr>
        <w:t>ension or Revocation of Permit</w:t>
      </w:r>
    </w:p>
    <w:p w:rsidR="00D22DC0" w:rsidRPr="00D22DC0" w:rsidRDefault="00D22DC0" w:rsidP="00D22DC0">
      <w:pPr>
        <w:rPr>
          <w:rFonts w:ascii="Times New Roman" w:eastAsia="Times New Roman Bold" w:hAnsi="Times New Roman"/>
          <w:sz w:val="24"/>
        </w:rPr>
      </w:pPr>
    </w:p>
    <w:p w:rsidR="00D22DC0" w:rsidRPr="00D22DC0" w:rsidRDefault="00D22DC0" w:rsidP="00D22DC0">
      <w:pPr>
        <w:ind w:left="1440" w:hanging="720"/>
        <w:rPr>
          <w:rFonts w:ascii="Times New Roman" w:eastAsia="Arial Unicode MS" w:hAnsi="Times New Roman"/>
          <w:i/>
          <w:sz w:val="24"/>
        </w:rPr>
      </w:pPr>
      <w:r w:rsidRPr="00D22DC0">
        <w:rPr>
          <w:rFonts w:ascii="Times New Roman" w:eastAsia="Arial Unicode MS" w:hAnsi="Times New Roman"/>
          <w:sz w:val="24"/>
        </w:rPr>
        <w:t>a)</w:t>
      </w:r>
      <w:r w:rsidRPr="00D22DC0">
        <w:rPr>
          <w:rFonts w:ascii="Times New Roman" w:eastAsia="Arial Unicode MS" w:hAnsi="Times New Roman"/>
          <w:sz w:val="24"/>
        </w:rPr>
        <w:tab/>
      </w:r>
      <w:r w:rsidRPr="00D22DC0">
        <w:rPr>
          <w:rFonts w:ascii="Times New Roman" w:eastAsia="Arial Unicode MS" w:hAnsi="Times New Roman"/>
          <w:i/>
          <w:sz w:val="24"/>
        </w:rPr>
        <w:t xml:space="preserve">An application for a cultivation center permit must be denied if any of the following conditions are met: </w:t>
      </w:r>
    </w:p>
    <w:p w:rsidR="00D22DC0" w:rsidRPr="00D22DC0" w:rsidRDefault="00D22DC0" w:rsidP="00D22DC0">
      <w:pPr>
        <w:ind w:left="1440" w:hanging="720"/>
        <w:rPr>
          <w:rFonts w:ascii="Times New Roman" w:hAnsi="Times New Roman"/>
          <w:sz w:val="24"/>
        </w:rPr>
      </w:pPr>
    </w:p>
    <w:p w:rsidR="00D22DC0" w:rsidRPr="00D22DC0" w:rsidRDefault="00D22DC0" w:rsidP="00D22DC0">
      <w:pPr>
        <w:ind w:left="720" w:firstLine="720"/>
        <w:rPr>
          <w:rFonts w:ascii="Times New Roman" w:eastAsia="Arial Unicode MS" w:hAnsi="Times New Roman"/>
          <w:i/>
          <w:sz w:val="24"/>
        </w:rPr>
      </w:pPr>
      <w:r w:rsidRPr="00D22DC0">
        <w:rPr>
          <w:rFonts w:ascii="Times New Roman" w:eastAsia="Arial Unicode MS" w:hAnsi="Times New Roman"/>
          <w:sz w:val="24"/>
        </w:rPr>
        <w:t>1)</w:t>
      </w:r>
      <w:r w:rsidRPr="00D22DC0">
        <w:rPr>
          <w:rFonts w:ascii="Times New Roman" w:eastAsia="Arial Unicode MS" w:hAnsi="Times New Roman"/>
          <w:sz w:val="24"/>
        </w:rPr>
        <w:tab/>
      </w:r>
      <w:r w:rsidRPr="00D22DC0">
        <w:rPr>
          <w:rFonts w:ascii="Times New Roman" w:eastAsia="Arial Unicode MS" w:hAnsi="Times New Roman"/>
          <w:i/>
          <w:sz w:val="24"/>
        </w:rPr>
        <w:t xml:space="preserve">the applicant failed to submit the materials required by this </w:t>
      </w:r>
      <w:r w:rsidRPr="00903346">
        <w:rPr>
          <w:rFonts w:ascii="Times New Roman" w:eastAsia="Arial Unicode MS" w:hAnsi="Times New Roman"/>
          <w:sz w:val="24"/>
        </w:rPr>
        <w:t>Part;</w:t>
      </w:r>
    </w:p>
    <w:p w:rsidR="00D22DC0" w:rsidRPr="00D22DC0" w:rsidRDefault="00D22DC0" w:rsidP="00D22DC0">
      <w:pPr>
        <w:pBdr>
          <w:top w:val="nil"/>
          <w:left w:val="nil"/>
          <w:bottom w:val="nil"/>
          <w:right w:val="nil"/>
          <w:between w:val="nil"/>
          <w:bar w:val="nil"/>
        </w:pBdr>
        <w:tabs>
          <w:tab w:val="num" w:pos="1440"/>
        </w:tabs>
        <w:ind w:left="2880" w:hanging="1440"/>
        <w:rPr>
          <w:rFonts w:ascii="Times New Roman" w:hAnsi="Times New Roman"/>
          <w:i/>
          <w:iCs/>
          <w:color w:val="000000"/>
          <w:sz w:val="24"/>
          <w:u w:color="000000"/>
          <w:bdr w:val="nil"/>
        </w:rPr>
      </w:pP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i/>
          <w:iCs/>
          <w:color w:val="000000"/>
          <w:sz w:val="24"/>
          <w:u w:color="000000"/>
          <w:bdr w:val="nil"/>
        </w:rPr>
      </w:pPr>
      <w:r>
        <w:rPr>
          <w:rFonts w:ascii="Times New Roman" w:eastAsia="Arial Unicode MS" w:hAnsi="Arial Unicode MS" w:cs="Arial Unicode MS"/>
          <w:iCs/>
          <w:color w:val="000000"/>
          <w:sz w:val="24"/>
          <w:u w:color="000000"/>
          <w:bdr w:val="nil"/>
        </w:rPr>
        <w:t>2)</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 xml:space="preserve">the applicant would not be in compliance with local zoning rules issued in accordance with Section 140 </w:t>
      </w:r>
      <w:r w:rsidRPr="00903346">
        <w:rPr>
          <w:rFonts w:ascii="Times New Roman" w:eastAsia="Arial Unicode MS" w:hAnsi="Arial Unicode MS" w:cs="Arial Unicode MS"/>
          <w:iCs/>
          <w:color w:val="000000"/>
          <w:sz w:val="24"/>
          <w:u w:color="000000"/>
          <w:bdr w:val="nil"/>
        </w:rPr>
        <w:t>of the Act;</w:t>
      </w:r>
    </w:p>
    <w:p w:rsidR="00D22DC0" w:rsidRPr="00D03C6B" w:rsidRDefault="00D22DC0" w:rsidP="00D22DC0">
      <w:pPr>
        <w:pBdr>
          <w:top w:val="nil"/>
          <w:left w:val="nil"/>
          <w:bottom w:val="nil"/>
          <w:right w:val="nil"/>
          <w:between w:val="nil"/>
          <w:bar w:val="nil"/>
        </w:pBdr>
        <w:tabs>
          <w:tab w:val="num" w:pos="1440"/>
        </w:tabs>
        <w:ind w:left="2160" w:hanging="720"/>
        <w:rPr>
          <w:rFonts w:ascii="Times New Roman" w:hAnsi="Times New Roman"/>
          <w:i/>
          <w:iCs/>
          <w:color w:val="000000"/>
          <w:sz w:val="24"/>
          <w:u w:color="000000"/>
          <w:bdr w:val="nil"/>
        </w:rPr>
      </w:pPr>
    </w:p>
    <w:p w:rsidR="00D22DC0" w:rsidRPr="00D03C6B" w:rsidRDefault="00D22DC0" w:rsidP="00D22DC0">
      <w:pPr>
        <w:pBdr>
          <w:top w:val="nil"/>
          <w:left w:val="nil"/>
          <w:bottom w:val="nil"/>
          <w:right w:val="nil"/>
          <w:between w:val="nil"/>
          <w:bar w:val="nil"/>
        </w:pBdr>
        <w:tabs>
          <w:tab w:val="num" w:pos="1440"/>
        </w:tabs>
        <w:ind w:left="2160" w:hanging="720"/>
        <w:rPr>
          <w:rFonts w:ascii="Times New Roman" w:hAnsi="Times New Roman"/>
          <w:i/>
          <w:iCs/>
          <w:color w:val="000000"/>
          <w:sz w:val="24"/>
          <w:u w:color="000000"/>
          <w:bdr w:val="nil"/>
        </w:rPr>
      </w:pPr>
      <w:r>
        <w:rPr>
          <w:rFonts w:ascii="Times New Roman" w:eastAsia="Arial Unicode MS" w:hAnsi="Arial Unicode MS" w:cs="Arial Unicode MS"/>
          <w:iCs/>
          <w:color w:val="000000"/>
          <w:sz w:val="24"/>
          <w:u w:color="000000"/>
          <w:bdr w:val="nil"/>
        </w:rPr>
        <w:t>3)</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one or more of the prospective principal officers or board members has been convicted of an excluded offense;</w:t>
      </w: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i/>
          <w:iCs/>
          <w:color w:val="000000"/>
          <w:sz w:val="24"/>
          <w:u w:color="000000"/>
          <w:bdr w:val="nil"/>
        </w:rPr>
      </w:pPr>
    </w:p>
    <w:p w:rsidR="00D22DC0" w:rsidRPr="00D03C6B" w:rsidRDefault="00D22DC0" w:rsidP="00D22DC0">
      <w:pPr>
        <w:pBdr>
          <w:top w:val="nil"/>
          <w:left w:val="nil"/>
          <w:bottom w:val="nil"/>
          <w:right w:val="nil"/>
          <w:between w:val="nil"/>
          <w:bar w:val="nil"/>
        </w:pBdr>
        <w:tabs>
          <w:tab w:val="num" w:pos="1440"/>
        </w:tabs>
        <w:ind w:left="2160" w:hanging="720"/>
        <w:rPr>
          <w:rFonts w:ascii="Times New Roman" w:hAnsi="Times New Roman"/>
          <w:color w:val="000000"/>
          <w:sz w:val="24"/>
          <w:u w:color="000000"/>
          <w:bdr w:val="nil"/>
        </w:rPr>
      </w:pPr>
      <w:r>
        <w:rPr>
          <w:rFonts w:ascii="Times New Roman" w:eastAsia="Arial Unicode MS" w:hAnsi="Arial Unicode MS" w:cs="Arial Unicode MS"/>
          <w:iCs/>
          <w:color w:val="000000"/>
          <w:sz w:val="24"/>
          <w:u w:color="000000"/>
          <w:bdr w:val="nil"/>
        </w:rPr>
        <w:t>4)</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one or more of the prospective principal officers or board members has served as a principal officer or board member for a registered dispensing organization or cultivation center that has had its registration revoked</w:t>
      </w:r>
      <w:r w:rsidRPr="00D03C6B">
        <w:rPr>
          <w:rFonts w:ascii="Times New Roman" w:eastAsia="Arial Unicode MS" w:hAnsi="Arial Unicode MS" w:cs="Arial Unicode MS"/>
          <w:color w:val="000000"/>
          <w:sz w:val="24"/>
          <w:u w:color="000000"/>
          <w:bdr w:val="nil"/>
        </w:rPr>
        <w:t xml:space="preserve"> or </w:t>
      </w:r>
      <w:r w:rsidRPr="00903346">
        <w:rPr>
          <w:rFonts w:ascii="Times New Roman" w:eastAsia="Arial Unicode MS" w:hAnsi="Arial Unicode MS" w:cs="Arial Unicode MS"/>
          <w:color w:val="000000"/>
          <w:sz w:val="24"/>
          <w:u w:color="000000"/>
          <w:bdr w:val="nil"/>
        </w:rPr>
        <w:t>suspended;</w:t>
      </w: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i/>
          <w:iCs/>
          <w:color w:val="000000"/>
          <w:sz w:val="24"/>
          <w:u w:color="000000"/>
          <w:bdr w:val="nil"/>
        </w:rPr>
      </w:pPr>
    </w:p>
    <w:p w:rsidR="00D22DC0" w:rsidRPr="00D03C6B" w:rsidRDefault="00D22DC0" w:rsidP="00D22DC0">
      <w:pPr>
        <w:pBdr>
          <w:top w:val="nil"/>
          <w:left w:val="nil"/>
          <w:bottom w:val="nil"/>
          <w:right w:val="nil"/>
          <w:between w:val="nil"/>
          <w:bar w:val="nil"/>
        </w:pBdr>
        <w:tabs>
          <w:tab w:val="num" w:pos="1440"/>
        </w:tabs>
        <w:ind w:left="2160" w:hanging="720"/>
        <w:rPr>
          <w:rFonts w:ascii="Times New Roman" w:hAnsi="Times New Roman"/>
          <w:i/>
          <w:iCs/>
          <w:color w:val="000000"/>
          <w:sz w:val="24"/>
          <w:u w:color="000000"/>
          <w:bdr w:val="nil"/>
        </w:rPr>
      </w:pPr>
      <w:r>
        <w:rPr>
          <w:rFonts w:ascii="Times New Roman" w:eastAsia="Arial Unicode MS" w:hAnsi="Arial Unicode MS" w:cs="Arial Unicode MS"/>
          <w:iCs/>
          <w:color w:val="000000"/>
          <w:sz w:val="24"/>
          <w:u w:color="000000"/>
          <w:bdr w:val="nil"/>
        </w:rPr>
        <w:t>5)</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one or more of the principal officers or board members is under 21 years of age;</w:t>
      </w: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i/>
          <w:iCs/>
          <w:color w:val="000000"/>
          <w:sz w:val="24"/>
          <w:u w:color="000000"/>
          <w:bdr w:val="nil"/>
        </w:rPr>
      </w:pPr>
    </w:p>
    <w:p w:rsidR="00D22DC0" w:rsidRPr="00D03C6B" w:rsidRDefault="00D22DC0" w:rsidP="00D22DC0">
      <w:pPr>
        <w:pBdr>
          <w:top w:val="nil"/>
          <w:left w:val="nil"/>
          <w:bottom w:val="nil"/>
          <w:right w:val="nil"/>
          <w:between w:val="nil"/>
          <w:bar w:val="nil"/>
        </w:pBdr>
        <w:tabs>
          <w:tab w:val="num" w:pos="1440"/>
        </w:tabs>
        <w:ind w:left="2160" w:hanging="720"/>
        <w:rPr>
          <w:rFonts w:ascii="Times New Roman" w:hAnsi="Times New Roman"/>
          <w:i/>
          <w:iCs/>
          <w:color w:val="000000"/>
          <w:sz w:val="24"/>
          <w:u w:color="000000"/>
          <w:bdr w:val="nil"/>
        </w:rPr>
      </w:pPr>
      <w:r>
        <w:rPr>
          <w:rFonts w:ascii="Times New Roman" w:eastAsia="Arial Unicode MS" w:hAnsi="Arial Unicode MS" w:cs="Arial Unicode MS"/>
          <w:iCs/>
          <w:color w:val="000000"/>
          <w:sz w:val="24"/>
          <w:u w:color="000000"/>
          <w:bdr w:val="nil"/>
        </w:rPr>
        <w:t>6)</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a principal officer or board member of the cultivation center has been convicted of a felony under the laws of this State, any other state, or the United States;</w:t>
      </w: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i/>
          <w:iCs/>
          <w:color w:val="000000"/>
          <w:sz w:val="24"/>
          <w:u w:color="000000"/>
          <w:bdr w:val="nil"/>
        </w:rPr>
      </w:pPr>
    </w:p>
    <w:p w:rsidR="00D22DC0" w:rsidRPr="00D03C6B" w:rsidRDefault="00D22DC0" w:rsidP="00D22DC0">
      <w:pPr>
        <w:pBdr>
          <w:top w:val="nil"/>
          <w:left w:val="nil"/>
          <w:bottom w:val="nil"/>
          <w:right w:val="nil"/>
          <w:between w:val="nil"/>
          <w:bar w:val="nil"/>
        </w:pBdr>
        <w:tabs>
          <w:tab w:val="num" w:pos="1440"/>
        </w:tabs>
        <w:ind w:left="2160" w:hanging="720"/>
        <w:rPr>
          <w:rFonts w:ascii="Times New Roman" w:hAnsi="Times New Roman"/>
          <w:i/>
          <w:iCs/>
          <w:color w:val="000000"/>
          <w:sz w:val="24"/>
          <w:u w:color="000000"/>
          <w:bdr w:val="nil"/>
        </w:rPr>
      </w:pPr>
      <w:r>
        <w:rPr>
          <w:rFonts w:ascii="Times New Roman" w:eastAsia="Arial Unicode MS" w:hAnsi="Arial Unicode MS" w:cs="Arial Unicode MS"/>
          <w:iCs/>
          <w:color w:val="000000"/>
          <w:sz w:val="24"/>
          <w:u w:color="000000"/>
          <w:bdr w:val="nil"/>
        </w:rPr>
        <w:t>7)</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a principal officer or board member of the cultivation center has been convicted of any violation of Article 28 of the Criminal Code of 2012, or substantially similar laws of any other jurisdiction; or</w:t>
      </w: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i/>
          <w:iCs/>
          <w:color w:val="000000"/>
          <w:sz w:val="24"/>
          <w:u w:color="000000"/>
          <w:bdr w:val="nil"/>
        </w:rPr>
      </w:pPr>
    </w:p>
    <w:p w:rsidR="00D22DC0" w:rsidRDefault="00D22DC0" w:rsidP="00D22DC0">
      <w:pPr>
        <w:pBdr>
          <w:top w:val="nil"/>
          <w:left w:val="nil"/>
          <w:bottom w:val="nil"/>
          <w:right w:val="nil"/>
          <w:between w:val="nil"/>
          <w:bar w:val="nil"/>
        </w:pBdr>
        <w:tabs>
          <w:tab w:val="num" w:pos="1440"/>
        </w:tabs>
        <w:ind w:left="2160" w:hanging="720"/>
        <w:rPr>
          <w:rFonts w:ascii="Times New Roman" w:eastAsia="Arial Unicode MS" w:hAnsi="Arial Unicode MS" w:cs="Arial Unicode MS"/>
          <w:color w:val="000000"/>
          <w:sz w:val="24"/>
          <w:u w:color="000000"/>
          <w:bdr w:val="nil"/>
          <w:shd w:val="clear" w:color="auto" w:fill="FFFFFF"/>
        </w:rPr>
      </w:pPr>
      <w:r>
        <w:rPr>
          <w:rFonts w:ascii="Times New Roman" w:eastAsia="Arial Unicode MS" w:hAnsi="Arial Unicode MS" w:cs="Arial Unicode MS"/>
          <w:iCs/>
          <w:color w:val="000000"/>
          <w:sz w:val="24"/>
          <w:u w:color="000000"/>
          <w:bdr w:val="nil"/>
        </w:rPr>
        <w:t>8)</w:t>
      </w:r>
      <w:r>
        <w:rPr>
          <w:rFonts w:ascii="Times New Roman" w:eastAsia="Arial Unicode MS" w:hAnsi="Arial Unicode MS" w:cs="Arial Unicode MS"/>
          <w:iCs/>
          <w:color w:val="000000"/>
          <w:sz w:val="24"/>
          <w:u w:color="000000"/>
          <w:bdr w:val="nil"/>
        </w:rPr>
        <w:tab/>
      </w:r>
      <w:r w:rsidRPr="00D03C6B">
        <w:rPr>
          <w:rFonts w:ascii="Times New Roman" w:eastAsia="Arial Unicode MS" w:hAnsi="Arial Unicode MS" w:cs="Arial Unicode MS"/>
          <w:i/>
          <w:iCs/>
          <w:color w:val="000000"/>
          <w:sz w:val="24"/>
          <w:u w:color="000000"/>
          <w:bdr w:val="nil"/>
        </w:rPr>
        <w:t xml:space="preserve">the person has submitted an application for a </w:t>
      </w:r>
      <w:r w:rsidRPr="00D03C6B">
        <w:rPr>
          <w:rFonts w:ascii="Times New Roman" w:eastAsia="Arial Unicode MS" w:hAnsi="Arial Unicode MS" w:cs="Arial Unicode MS"/>
          <w:iCs/>
          <w:color w:val="000000"/>
          <w:sz w:val="24"/>
          <w:u w:color="000000"/>
          <w:bdr w:val="nil"/>
        </w:rPr>
        <w:t>permit</w:t>
      </w:r>
      <w:r w:rsidRPr="00D03C6B">
        <w:rPr>
          <w:rFonts w:ascii="Times New Roman" w:eastAsia="Arial Unicode MS" w:hAnsi="Arial Unicode MS" w:cs="Arial Unicode MS"/>
          <w:i/>
          <w:iCs/>
          <w:color w:val="000000"/>
          <w:sz w:val="24"/>
          <w:u w:color="000000"/>
          <w:bdr w:val="nil"/>
        </w:rPr>
        <w:t xml:space="preserve"> under </w:t>
      </w:r>
      <w:r w:rsidRPr="00DC0875">
        <w:rPr>
          <w:rFonts w:ascii="Times New Roman" w:eastAsia="Arial Unicode MS" w:hAnsi="Arial Unicode MS" w:cs="Arial Unicode MS"/>
          <w:iCs/>
          <w:color w:val="000000"/>
          <w:sz w:val="24"/>
          <w:u w:color="000000"/>
          <w:bdr w:val="nil"/>
        </w:rPr>
        <w:t>the</w:t>
      </w:r>
      <w:r w:rsidRPr="00D03C6B">
        <w:rPr>
          <w:rFonts w:ascii="Times New Roman" w:eastAsia="Arial Unicode MS" w:hAnsi="Arial Unicode MS" w:cs="Arial Unicode MS"/>
          <w:i/>
          <w:iCs/>
          <w:color w:val="000000"/>
          <w:sz w:val="24"/>
          <w:u w:color="000000"/>
          <w:bdr w:val="nil"/>
        </w:rPr>
        <w:t xml:space="preserve"> Act</w:t>
      </w:r>
      <w:r w:rsidRPr="00D03C6B">
        <w:rPr>
          <w:rFonts w:ascii="Times New Roman" w:eastAsia="Arial Unicode MS" w:hAnsi="Arial Unicode MS" w:cs="Arial Unicode MS"/>
          <w:color w:val="000000"/>
          <w:sz w:val="24"/>
          <w:u w:color="000000"/>
          <w:bdr w:val="nil"/>
        </w:rPr>
        <w:t xml:space="preserve"> and/or this Part </w:t>
      </w:r>
      <w:r w:rsidRPr="00D03C6B">
        <w:rPr>
          <w:rFonts w:ascii="Times New Roman" w:eastAsia="Arial Unicode MS" w:hAnsi="Arial Unicode MS" w:cs="Arial Unicode MS"/>
          <w:i/>
          <w:iCs/>
          <w:color w:val="000000"/>
          <w:sz w:val="24"/>
          <w:u w:color="000000"/>
          <w:bdr w:val="nil"/>
        </w:rPr>
        <w:t xml:space="preserve">which contains false information. </w:t>
      </w:r>
      <w:r w:rsidRPr="00D03C6B">
        <w:rPr>
          <w:rFonts w:ascii="Times New Roman" w:eastAsia="Arial Unicode MS" w:hAnsi="Arial Unicode MS" w:cs="Arial Unicode MS"/>
          <w:color w:val="000000"/>
          <w:sz w:val="24"/>
          <w:u w:color="000000"/>
          <w:bdr w:val="nil"/>
          <w:shd w:val="clear" w:color="auto" w:fill="FFFFFF"/>
        </w:rPr>
        <w:t>(Section 85 of the Act)</w:t>
      </w:r>
    </w:p>
    <w:p w:rsidR="00D22DC0" w:rsidRPr="00D22DC0" w:rsidRDefault="00D22DC0" w:rsidP="00D22DC0">
      <w:pPr>
        <w:rPr>
          <w:rFonts w:ascii="Times New Roman" w:hAnsi="Times New Roman"/>
          <w:sz w:val="24"/>
        </w:rPr>
      </w:pPr>
    </w:p>
    <w:p w:rsidR="000174EB" w:rsidRDefault="00D22DC0" w:rsidP="00D22DC0">
      <w:pPr>
        <w:ind w:left="1440" w:hanging="720"/>
        <w:rPr>
          <w:rFonts w:ascii="Times New Roman" w:eastAsia="Arial Unicode MS" w:hAnsi="Times New Roman"/>
          <w:sz w:val="24"/>
        </w:rPr>
      </w:pPr>
      <w:r w:rsidRPr="00D22DC0">
        <w:rPr>
          <w:rFonts w:ascii="Times New Roman" w:eastAsia="Arial Unicode MS" w:hAnsi="Times New Roman"/>
          <w:sz w:val="24"/>
        </w:rPr>
        <w:t>b)</w:t>
      </w:r>
      <w:r w:rsidRPr="00D22DC0">
        <w:rPr>
          <w:rFonts w:ascii="Times New Roman" w:eastAsia="Arial Unicode MS" w:hAnsi="Times New Roman"/>
          <w:sz w:val="24"/>
        </w:rPr>
        <w:tab/>
        <w:t>The Department may suspend or revoke a registration for violations of the Act and/or this Part.</w:t>
      </w:r>
    </w:p>
    <w:p w:rsidR="00054F93" w:rsidRDefault="00054F93" w:rsidP="00D22DC0">
      <w:pPr>
        <w:ind w:left="1440" w:hanging="720"/>
        <w:rPr>
          <w:rFonts w:ascii="Times New Roman" w:eastAsia="Arial Unicode MS" w:hAnsi="Times New Roman"/>
          <w:sz w:val="24"/>
        </w:rPr>
      </w:pPr>
    </w:p>
    <w:p w:rsidR="00054F93" w:rsidRPr="00D22DC0" w:rsidRDefault="00054F93" w:rsidP="00D22DC0">
      <w:pPr>
        <w:ind w:left="1440" w:hanging="720"/>
        <w:rPr>
          <w:rFonts w:ascii="Times New Roman" w:hAnsi="Times New Roman"/>
          <w:sz w:val="24"/>
        </w:rPr>
      </w:pPr>
      <w:r>
        <w:rPr>
          <w:rFonts w:ascii="Times New Roman" w:eastAsia="Arial Unicode MS" w:hAnsi="Times New Roman"/>
          <w:sz w:val="24"/>
        </w:rPr>
        <w:t>c)</w:t>
      </w:r>
      <w:r>
        <w:rPr>
          <w:rFonts w:ascii="Times New Roman" w:eastAsia="Arial Unicode MS" w:hAnsi="Times New Roman"/>
          <w:sz w:val="24"/>
        </w:rPr>
        <w:tab/>
        <w:t>Nothing in this Part is intended to confer a property or other right, duty, privilege or interest entitling an applicant to an administrative hearing upon denial of an application.</w:t>
      </w:r>
      <w:bookmarkStart w:id="0" w:name="_GoBack"/>
      <w:bookmarkEnd w:id="0"/>
    </w:p>
    <w:sectPr w:rsidR="00054F93" w:rsidRPr="00D22D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474" w:rsidRDefault="00841474">
      <w:r>
        <w:separator/>
      </w:r>
    </w:p>
  </w:endnote>
  <w:endnote w:type="continuationSeparator" w:id="0">
    <w:p w:rsidR="00841474" w:rsidRDefault="0084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474" w:rsidRDefault="00841474">
      <w:r>
        <w:separator/>
      </w:r>
    </w:p>
  </w:footnote>
  <w:footnote w:type="continuationSeparator" w:id="0">
    <w:p w:rsidR="00841474" w:rsidRDefault="00841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93"/>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474"/>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34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DC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87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02209-FFF0-421B-9F79-C1F42F58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C0"/>
    <w:rPr>
      <w:rFonts w:ascii="Courier" w:hAnsi="Courier"/>
      <w:szCs w:val="24"/>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rPr>
  </w:style>
  <w:style w:type="paragraph" w:styleId="Footer">
    <w:name w:val="footer"/>
    <w:basedOn w:val="Normal"/>
    <w:rsid w:val="00A600AA"/>
    <w:pPr>
      <w:tabs>
        <w:tab w:val="center" w:pos="4320"/>
        <w:tab w:val="right" w:pos="8640"/>
      </w:tabs>
    </w:pPr>
    <w:rPr>
      <w:rFonts w:ascii="Times New Roman" w:hAnsi="Times New Roman"/>
      <w:sz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szCs w:val="20"/>
      <w:u w:val="single"/>
    </w:rPr>
  </w:style>
  <w:style w:type="paragraph" w:customStyle="1" w:styleId="JCARMainSourceNote">
    <w:name w:val="JCAR Main Source Note"/>
    <w:basedOn w:val="Normal"/>
    <w:rsid w:val="00A600AA"/>
    <w:rPr>
      <w:rFonts w:ascii="Times New Roman" w:hAnsi="Times New Roman"/>
      <w:sz w:val="24"/>
    </w:rPr>
  </w:style>
  <w:style w:type="paragraph" w:styleId="BodyText">
    <w:name w:val="Body Text"/>
    <w:basedOn w:val="Normal"/>
    <w:rsid w:val="001C71C2"/>
    <w:pPr>
      <w:spacing w:after="120"/>
    </w:pPr>
    <w:rPr>
      <w:rFonts w:ascii="Times New Roman" w:hAnsi="Times New Roman"/>
      <w:sz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6</cp:revision>
  <dcterms:created xsi:type="dcterms:W3CDTF">2014-04-08T17:00:00Z</dcterms:created>
  <dcterms:modified xsi:type="dcterms:W3CDTF">2014-06-26T16:58:00Z</dcterms:modified>
</cp:coreProperties>
</file>