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E9" w:rsidRDefault="002D78E9" w:rsidP="00FE577F">
      <w:pPr>
        <w:rPr>
          <w:rFonts w:eastAsia="Arial Unicode MS"/>
          <w:color w:val="000000"/>
          <w:bdr w:val="none" w:sz="0" w:space="0" w:color="auto" w:frame="1"/>
        </w:rPr>
      </w:pPr>
    </w:p>
    <w:p w:rsidR="00FE577F" w:rsidRPr="002D78E9" w:rsidRDefault="00FE577F" w:rsidP="00FE577F">
      <w:pPr>
        <w:rPr>
          <w:rFonts w:eastAsia="Times New Roman Bold"/>
          <w:b/>
          <w:color w:val="000000"/>
          <w:bdr w:val="none" w:sz="0" w:space="0" w:color="auto" w:frame="1"/>
        </w:rPr>
      </w:pPr>
      <w:r w:rsidRPr="002D78E9">
        <w:rPr>
          <w:rFonts w:eastAsia="Arial Unicode MS"/>
          <w:b/>
          <w:color w:val="000000"/>
          <w:bdr w:val="none" w:sz="0" w:space="0" w:color="auto" w:frame="1"/>
        </w:rPr>
        <w:t>Section 1000.30  Scope and Application</w:t>
      </w:r>
    </w:p>
    <w:p w:rsidR="00FE577F" w:rsidRPr="002D78E9" w:rsidRDefault="00FE577F" w:rsidP="00FE577F">
      <w:pPr>
        <w:ind w:left="1440"/>
        <w:rPr>
          <w:b/>
          <w:color w:val="000000"/>
          <w:bdr w:val="none" w:sz="0" w:space="0" w:color="auto" w:frame="1"/>
        </w:rPr>
      </w:pPr>
    </w:p>
    <w:p w:rsidR="00FE577F" w:rsidRPr="00FE577F" w:rsidRDefault="00FE577F" w:rsidP="00FE577F">
      <w:pPr>
        <w:ind w:left="1440" w:hanging="720"/>
        <w:rPr>
          <w:color w:val="000000"/>
          <w:bdr w:val="none" w:sz="0" w:space="0" w:color="auto" w:frame="1"/>
        </w:rPr>
      </w:pPr>
      <w:r w:rsidRPr="00FE577F">
        <w:rPr>
          <w:color w:val="000000"/>
          <w:bdr w:val="none" w:sz="0" w:space="0" w:color="auto" w:frame="1"/>
        </w:rPr>
        <w:t>a)</w:t>
      </w:r>
      <w:r w:rsidRPr="00FE577F">
        <w:rPr>
          <w:color w:val="000000"/>
          <w:bdr w:val="none" w:sz="0" w:space="0" w:color="auto" w:frame="1"/>
        </w:rPr>
        <w:tab/>
      </w:r>
      <w:r w:rsidRPr="000564AF">
        <w:rPr>
          <w:rFonts w:eastAsia="Arial Unicode MS"/>
          <w:i/>
          <w:color w:val="000000"/>
          <w:bdr w:val="none" w:sz="0" w:space="0" w:color="auto" w:frame="1"/>
        </w:rPr>
        <w:t>It is the duty of the Department to enforce the provisions of the Act relating to the registration and oversight of cultivation centers unless otherwise provided for in the Act.</w:t>
      </w:r>
      <w:r w:rsidRPr="00FE577F">
        <w:rPr>
          <w:rFonts w:eastAsia="Arial Unicode MS"/>
          <w:color w:val="000000"/>
          <w:bdr w:val="none" w:sz="0" w:space="0" w:color="auto" w:frame="1"/>
        </w:rPr>
        <w:t xml:space="preserve"> [410 ILCS 130/15(b)]</w:t>
      </w:r>
    </w:p>
    <w:p w:rsidR="00FE577F" w:rsidRPr="00FE577F" w:rsidRDefault="00FE577F" w:rsidP="00FE577F">
      <w:pPr>
        <w:rPr>
          <w:color w:val="000000"/>
          <w:bdr w:val="none" w:sz="0" w:space="0" w:color="auto" w:frame="1"/>
        </w:rPr>
      </w:pPr>
    </w:p>
    <w:p w:rsidR="00FE577F" w:rsidRPr="00FE577F" w:rsidRDefault="00FE577F" w:rsidP="00FE577F">
      <w:pPr>
        <w:ind w:left="1440" w:hanging="720"/>
        <w:rPr>
          <w:color w:val="000000"/>
          <w:bdr w:val="none" w:sz="0" w:space="0" w:color="auto" w:frame="1"/>
        </w:rPr>
      </w:pPr>
      <w:r w:rsidRPr="00FE577F">
        <w:rPr>
          <w:rFonts w:eastAsia="Arial Unicode MS"/>
          <w:color w:val="000000"/>
          <w:bdr w:val="none" w:sz="0" w:space="0" w:color="auto" w:frame="1"/>
        </w:rPr>
        <w:t>b)</w:t>
      </w:r>
      <w:r w:rsidRPr="00FE577F">
        <w:rPr>
          <w:rFonts w:eastAsia="Arial Unicode MS"/>
          <w:color w:val="000000"/>
          <w:bdr w:val="none" w:sz="0" w:space="0" w:color="auto" w:frame="1"/>
        </w:rPr>
        <w:tab/>
        <w:t>A</w:t>
      </w:r>
      <w:r w:rsidRPr="00FE577F">
        <w:rPr>
          <w:rFonts w:eastAsia="Arial Unicode MS"/>
          <w:color w:val="FF0000"/>
          <w:bdr w:val="none" w:sz="0" w:space="0" w:color="auto" w:frame="1"/>
        </w:rPr>
        <w:t xml:space="preserve"> </w:t>
      </w:r>
      <w:r w:rsidRPr="00FE577F">
        <w:rPr>
          <w:rFonts w:eastAsia="Arial Unicode MS"/>
          <w:color w:val="000000"/>
          <w:bdr w:val="none" w:sz="0" w:space="0" w:color="auto" w:frame="1"/>
        </w:rPr>
        <w:t>cultivation center shall be in compliance with all of this Part prior to the commencement of operational activities and/or storage of medical cannabis.</w:t>
      </w:r>
    </w:p>
    <w:p w:rsidR="00FE577F" w:rsidRPr="00FE577F" w:rsidRDefault="00FE577F" w:rsidP="00FE577F">
      <w:pPr>
        <w:rPr>
          <w:color w:val="000000"/>
          <w:bdr w:val="none" w:sz="0" w:space="0" w:color="auto" w:frame="1"/>
        </w:rPr>
      </w:pPr>
    </w:p>
    <w:p w:rsidR="00FE577F" w:rsidRPr="00FE577F" w:rsidRDefault="00FE577F" w:rsidP="00FE577F">
      <w:pPr>
        <w:ind w:left="1440" w:hanging="720"/>
        <w:rPr>
          <w:color w:val="000000"/>
          <w:bdr w:val="none" w:sz="0" w:space="0" w:color="auto" w:frame="1"/>
        </w:rPr>
      </w:pPr>
      <w:r w:rsidRPr="00FE577F">
        <w:rPr>
          <w:rFonts w:eastAsia="Arial Unicode MS"/>
          <w:color w:val="000000"/>
          <w:bdr w:val="none" w:sz="0" w:space="0" w:color="auto" w:frame="1"/>
        </w:rPr>
        <w:t>c)</w:t>
      </w:r>
      <w:r w:rsidRPr="00FE577F">
        <w:rPr>
          <w:rFonts w:eastAsia="Arial Unicode MS"/>
          <w:color w:val="000000"/>
          <w:bdr w:val="none" w:sz="0" w:space="0" w:color="auto" w:frame="1"/>
        </w:rPr>
        <w:tab/>
        <w:t>This Part shall apply to applicants for and holders of a cultivation center permit</w:t>
      </w:r>
      <w:r w:rsidRPr="00FE577F">
        <w:rPr>
          <w:rFonts w:eastAsia="Arial Unicode MS"/>
          <w:color w:val="FF0000"/>
          <w:bdr w:val="none" w:sz="0" w:space="0" w:color="auto" w:frame="1"/>
        </w:rPr>
        <w:t xml:space="preserve"> </w:t>
      </w:r>
      <w:r w:rsidRPr="00FE577F">
        <w:rPr>
          <w:rFonts w:eastAsia="Arial Unicode MS"/>
          <w:color w:val="000000"/>
          <w:bdr w:val="none" w:sz="0" w:space="0" w:color="auto" w:frame="1"/>
        </w:rPr>
        <w:t>to propagate, cultivate, harvest</w:t>
      </w:r>
      <w:r w:rsidR="000564AF">
        <w:rPr>
          <w:rFonts w:eastAsia="Arial Unicode MS"/>
          <w:color w:val="000000"/>
          <w:bdr w:val="none" w:sz="0" w:space="0" w:color="auto" w:frame="1"/>
        </w:rPr>
        <w:t>, prepare, cure, package, store</w:t>
      </w:r>
      <w:r w:rsidRPr="00FE577F">
        <w:rPr>
          <w:rFonts w:eastAsia="Arial Unicode MS"/>
          <w:color w:val="000000"/>
          <w:bdr w:val="none" w:sz="0" w:space="0" w:color="auto" w:frame="1"/>
        </w:rPr>
        <w:t xml:space="preserve"> and label medical cannabis, whether in concentrated form or otherwise.</w:t>
      </w:r>
    </w:p>
    <w:p w:rsidR="00FE577F" w:rsidRPr="00FE577F" w:rsidRDefault="00FE577F" w:rsidP="00FE577F">
      <w:pPr>
        <w:ind w:left="720"/>
        <w:rPr>
          <w:color w:val="000000"/>
          <w:bdr w:val="none" w:sz="0" w:space="0" w:color="auto" w:frame="1"/>
        </w:rPr>
      </w:pPr>
    </w:p>
    <w:p w:rsidR="00FE577F" w:rsidRPr="00FE577F" w:rsidRDefault="00FE577F" w:rsidP="00FE577F">
      <w:pPr>
        <w:ind w:left="1440" w:hanging="720"/>
        <w:rPr>
          <w:color w:val="000000"/>
          <w:bdr w:val="none" w:sz="0" w:space="0" w:color="auto" w:frame="1"/>
        </w:rPr>
      </w:pPr>
      <w:r w:rsidRPr="00FE577F">
        <w:rPr>
          <w:rFonts w:eastAsia="Arial Unicode MS"/>
          <w:color w:val="000000"/>
          <w:bdr w:val="none" w:sz="0" w:space="0" w:color="auto" w:frame="1"/>
        </w:rPr>
        <w:t>d)</w:t>
      </w:r>
      <w:r w:rsidRPr="00FE577F">
        <w:rPr>
          <w:rFonts w:eastAsia="Arial Unicode MS"/>
          <w:color w:val="000000"/>
          <w:bdr w:val="none" w:sz="0" w:space="0" w:color="auto" w:frame="1"/>
        </w:rPr>
        <w:tab/>
        <w:t>Authorized On-Premises Storage. A cultivation center is authorized to store cannabis and cannabis-infused products inventory on the permitted premises. All inventory stored on the permitted</w:t>
      </w:r>
      <w:r w:rsidRPr="00FE577F">
        <w:rPr>
          <w:rFonts w:eastAsia="Arial Unicode MS"/>
          <w:color w:val="FF0000"/>
          <w:bdr w:val="none" w:sz="0" w:space="0" w:color="auto" w:frame="1"/>
        </w:rPr>
        <w:t xml:space="preserve"> </w:t>
      </w:r>
      <w:r w:rsidRPr="00FE577F">
        <w:rPr>
          <w:rFonts w:eastAsia="Arial Unicode MS"/>
          <w:color w:val="000000"/>
          <w:bdr w:val="none" w:sz="0" w:space="0" w:color="auto" w:frame="1"/>
        </w:rPr>
        <w:t>premises must be secured in a limited access area and tracked consistently with Section 1000.435.</w:t>
      </w:r>
    </w:p>
    <w:p w:rsidR="00FE577F" w:rsidRPr="00FE577F" w:rsidRDefault="00FE577F" w:rsidP="00FE577F">
      <w:pPr>
        <w:ind w:left="720"/>
        <w:rPr>
          <w:color w:val="000000"/>
          <w:bdr w:val="none" w:sz="0" w:space="0" w:color="auto" w:frame="1"/>
        </w:rPr>
      </w:pPr>
    </w:p>
    <w:p w:rsidR="00FE577F" w:rsidRPr="00FE577F" w:rsidRDefault="00FE577F" w:rsidP="00FE577F">
      <w:pPr>
        <w:ind w:left="1440" w:hanging="720"/>
        <w:rPr>
          <w:color w:val="000000"/>
          <w:bdr w:val="none" w:sz="0" w:space="0" w:color="auto" w:frame="1"/>
        </w:rPr>
      </w:pPr>
      <w:r w:rsidRPr="00FE577F">
        <w:rPr>
          <w:rFonts w:eastAsia="Arial Unicode MS"/>
          <w:color w:val="000000"/>
          <w:bdr w:val="none" w:sz="0" w:space="0" w:color="auto" w:frame="1"/>
        </w:rPr>
        <w:t>e)</w:t>
      </w:r>
      <w:r w:rsidRPr="00FE577F">
        <w:rPr>
          <w:rFonts w:eastAsia="Arial Unicode MS"/>
          <w:color w:val="000000"/>
          <w:bdr w:val="none" w:sz="0" w:space="0" w:color="auto" w:frame="1"/>
        </w:rPr>
        <w:tab/>
        <w:t xml:space="preserve">Packaging and Labeling Standards Required. A cultivation center is prohibited from selling cannabis that is not packaged and labeled in accordance with Section 1000.420.  </w:t>
      </w:r>
    </w:p>
    <w:p w:rsidR="00FE577F" w:rsidRPr="00FE577F" w:rsidRDefault="00FE577F" w:rsidP="00FE577F">
      <w:pPr>
        <w:ind w:left="720"/>
        <w:rPr>
          <w:color w:val="000000"/>
          <w:bdr w:val="none" w:sz="0" w:space="0" w:color="auto" w:frame="1"/>
        </w:rPr>
      </w:pPr>
    </w:p>
    <w:p w:rsidR="00FE577F" w:rsidRPr="00FE577F" w:rsidRDefault="00FE577F" w:rsidP="00FE577F">
      <w:pPr>
        <w:ind w:left="1440" w:hanging="720"/>
        <w:rPr>
          <w:color w:val="000000"/>
          <w:bdr w:val="none" w:sz="0" w:space="0" w:color="auto" w:frame="1"/>
        </w:rPr>
      </w:pPr>
      <w:r w:rsidRPr="00FE577F">
        <w:rPr>
          <w:rFonts w:eastAsia="Arial Unicode MS"/>
          <w:color w:val="000000"/>
          <w:bdr w:val="none" w:sz="0" w:space="0" w:color="auto" w:frame="1"/>
        </w:rPr>
        <w:t>f)</w:t>
      </w:r>
      <w:r w:rsidRPr="00FE577F">
        <w:rPr>
          <w:rFonts w:eastAsia="Arial Unicode MS"/>
          <w:color w:val="000000"/>
          <w:bdr w:val="none" w:sz="0" w:space="0" w:color="auto" w:frame="1"/>
        </w:rPr>
        <w:tab/>
        <w:t>Sale to Consumer Prohibited. A cultivation center is prohibited from selling cannabis or any cannabis-infused product directly to a consumer.</w:t>
      </w:r>
    </w:p>
    <w:p w:rsidR="00FE577F" w:rsidRPr="00FE577F" w:rsidRDefault="00FE577F" w:rsidP="00FE577F">
      <w:pPr>
        <w:ind w:left="720"/>
        <w:rPr>
          <w:color w:val="000000"/>
          <w:bdr w:val="none" w:sz="0" w:space="0" w:color="auto" w:frame="1"/>
        </w:rPr>
      </w:pPr>
    </w:p>
    <w:p w:rsidR="00FE577F" w:rsidRPr="00FE577F" w:rsidRDefault="00FE577F" w:rsidP="00FE577F">
      <w:pPr>
        <w:ind w:left="1440" w:hanging="720"/>
        <w:rPr>
          <w:color w:val="000000"/>
          <w:bdr w:val="none" w:sz="0" w:space="0" w:color="auto" w:frame="1"/>
        </w:rPr>
      </w:pPr>
      <w:r w:rsidRPr="00FE577F">
        <w:rPr>
          <w:rFonts w:eastAsia="Arial Unicode MS"/>
          <w:color w:val="000000"/>
          <w:bdr w:val="none" w:sz="0" w:space="0" w:color="auto" w:frame="1"/>
        </w:rPr>
        <w:t>g)</w:t>
      </w:r>
      <w:r w:rsidRPr="00FE577F">
        <w:rPr>
          <w:rFonts w:eastAsia="Arial Unicode MS"/>
          <w:color w:val="000000"/>
          <w:bdr w:val="none" w:sz="0" w:space="0" w:color="auto" w:frame="1"/>
        </w:rPr>
        <w:tab/>
        <w:t>Consumption Prohibited. A cultivation center shall not permit the consumption of cannabis or cannabis-infused products on its permitted premises.</w:t>
      </w:r>
    </w:p>
    <w:p w:rsidR="00FE577F" w:rsidRPr="00FE577F" w:rsidRDefault="00FE577F" w:rsidP="00FE577F">
      <w:pPr>
        <w:ind w:left="720"/>
        <w:rPr>
          <w:color w:val="000000"/>
          <w:bdr w:val="none" w:sz="0" w:space="0" w:color="auto" w:frame="1"/>
        </w:rPr>
      </w:pPr>
    </w:p>
    <w:p w:rsidR="00FE577F" w:rsidRPr="00FE577F" w:rsidRDefault="00FE577F" w:rsidP="00FE577F">
      <w:pPr>
        <w:ind w:left="1440" w:hanging="720"/>
        <w:rPr>
          <w:i/>
          <w:iCs/>
          <w:color w:val="000000"/>
          <w:bdr w:val="none" w:sz="0" w:space="0" w:color="auto" w:frame="1"/>
        </w:rPr>
      </w:pPr>
      <w:r w:rsidRPr="00FE577F">
        <w:rPr>
          <w:rFonts w:eastAsia="Arial Unicode MS"/>
          <w:iCs/>
          <w:color w:val="000000"/>
          <w:bdr w:val="none" w:sz="0" w:space="0" w:color="auto" w:frame="1"/>
        </w:rPr>
        <w:t>h)</w:t>
      </w:r>
      <w:r w:rsidRPr="00FE577F">
        <w:rPr>
          <w:rFonts w:eastAsia="Arial Unicode MS"/>
          <w:iCs/>
          <w:color w:val="000000"/>
          <w:bdr w:val="none" w:sz="0" w:space="0" w:color="auto" w:frame="1"/>
        </w:rPr>
        <w:tab/>
      </w:r>
      <w:r w:rsidR="00A60392">
        <w:rPr>
          <w:rFonts w:eastAsia="Arial Unicode MS"/>
          <w:i/>
          <w:iCs/>
          <w:color w:val="000000"/>
          <w:bdr w:val="none" w:sz="0" w:space="0" w:color="auto" w:frame="1"/>
        </w:rPr>
        <w:t xml:space="preserve">The Department, DPH and DFPR </w:t>
      </w:r>
      <w:bookmarkStart w:id="0" w:name="_GoBack"/>
      <w:bookmarkEnd w:id="0"/>
      <w:r w:rsidRPr="00FE577F">
        <w:rPr>
          <w:rFonts w:eastAsia="Arial Unicode MS"/>
          <w:i/>
          <w:iCs/>
          <w:color w:val="000000"/>
          <w:bdr w:val="none" w:sz="0" w:space="0" w:color="auto" w:frame="1"/>
        </w:rPr>
        <w:t xml:space="preserve">shall enter into intergovernmental agreements, as necessary, to carry out the provisions of </w:t>
      </w:r>
      <w:r w:rsidR="000564AF">
        <w:rPr>
          <w:rFonts w:eastAsia="Arial Unicode MS"/>
          <w:i/>
          <w:iCs/>
          <w:color w:val="000000"/>
          <w:bdr w:val="none" w:sz="0" w:space="0" w:color="auto" w:frame="1"/>
        </w:rPr>
        <w:t>the</w:t>
      </w:r>
      <w:r w:rsidRPr="00FE577F">
        <w:rPr>
          <w:rFonts w:eastAsia="Arial Unicode MS"/>
          <w:i/>
          <w:iCs/>
          <w:color w:val="000000"/>
          <w:bdr w:val="none" w:sz="0" w:space="0" w:color="auto" w:frame="1"/>
        </w:rPr>
        <w:t xml:space="preserve"> Act including, but not limited to, the provisions relating to the permitting and oversight of cultivation centers, dispensing organizations, and qualifying patients and caregivers.</w:t>
      </w:r>
      <w:r w:rsidRPr="00FE577F">
        <w:rPr>
          <w:rFonts w:eastAsia="Arial Unicode MS"/>
          <w:color w:val="000000"/>
          <w:bdr w:val="none" w:sz="0" w:space="0" w:color="auto" w:frame="1"/>
        </w:rPr>
        <w:t xml:space="preserve"> (Section 15 of the Act)</w:t>
      </w:r>
    </w:p>
    <w:sectPr w:rsidR="00FE577F" w:rsidRPr="00FE57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77F" w:rsidRDefault="00FE577F">
      <w:r>
        <w:separator/>
      </w:r>
    </w:p>
  </w:endnote>
  <w:endnote w:type="continuationSeparator" w:id="0">
    <w:p w:rsidR="00FE577F" w:rsidRDefault="00FE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77F" w:rsidRDefault="00FE577F">
      <w:r>
        <w:separator/>
      </w:r>
    </w:p>
  </w:footnote>
  <w:footnote w:type="continuationSeparator" w:id="0">
    <w:p w:rsidR="00FE577F" w:rsidRDefault="00FE5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64AF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D78E9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80E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392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77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8F26B-CFD8-44DA-AB56-55B9193D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8</cp:revision>
  <dcterms:created xsi:type="dcterms:W3CDTF">2014-04-08T17:00:00Z</dcterms:created>
  <dcterms:modified xsi:type="dcterms:W3CDTF">2014-07-10T19:30:00Z</dcterms:modified>
</cp:coreProperties>
</file>