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3F" w:rsidRDefault="00F2793F" w:rsidP="00F27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93F" w:rsidRDefault="00F2793F" w:rsidP="00F27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900.703  Level of Surety</w:t>
      </w:r>
      <w:r>
        <w:t xml:space="preserve"> </w:t>
      </w:r>
    </w:p>
    <w:p w:rsidR="00F2793F" w:rsidRDefault="00F2793F" w:rsidP="00F2793F">
      <w:pPr>
        <w:widowControl w:val="0"/>
        <w:autoSpaceDE w:val="0"/>
        <w:autoSpaceDN w:val="0"/>
        <w:adjustRightInd w:val="0"/>
      </w:pPr>
    </w:p>
    <w:p w:rsidR="00F2793F" w:rsidRDefault="00F2793F" w:rsidP="00F279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level of surety is determined by the following formula: </w:t>
      </w:r>
    </w:p>
    <w:p w:rsidR="00F2793F" w:rsidRDefault="00F2793F" w:rsidP="00F2793F">
      <w:pPr>
        <w:widowControl w:val="0"/>
        <w:autoSpaceDE w:val="0"/>
        <w:autoSpaceDN w:val="0"/>
        <w:adjustRightInd w:val="0"/>
        <w:ind w:left="1440" w:hanging="720"/>
      </w:pPr>
    </w:p>
    <w:p w:rsidR="00F2793F" w:rsidRDefault="00F2793F" w:rsidP="003C19AD">
      <w:pPr>
        <w:widowControl w:val="0"/>
        <w:autoSpaceDE w:val="0"/>
        <w:autoSpaceDN w:val="0"/>
        <w:adjustRightInd w:val="0"/>
        <w:ind w:left="2160"/>
      </w:pPr>
      <w:r>
        <w:t xml:space="preserve">Level of Surety = (V x CF) + EC </w:t>
      </w:r>
    </w:p>
    <w:p w:rsidR="00F2793F" w:rsidRDefault="00F2793F" w:rsidP="00F2793F">
      <w:pPr>
        <w:widowControl w:val="0"/>
        <w:autoSpaceDE w:val="0"/>
        <w:autoSpaceDN w:val="0"/>
        <w:adjustRightInd w:val="0"/>
        <w:ind w:left="2160" w:hanging="720"/>
      </w:pPr>
    </w:p>
    <w:p w:rsidR="00F2793F" w:rsidRDefault="00F2793F" w:rsidP="003C19AD">
      <w:pPr>
        <w:widowControl w:val="0"/>
        <w:autoSpaceDE w:val="0"/>
        <w:autoSpaceDN w:val="0"/>
        <w:adjustRightInd w:val="0"/>
        <w:ind w:left="2160"/>
      </w:pPr>
      <w:r>
        <w:t xml:space="preserve">where: </w:t>
      </w:r>
    </w:p>
    <w:p w:rsidR="003C19AD" w:rsidRDefault="003C19AD" w:rsidP="003C19AD">
      <w:pPr>
        <w:widowControl w:val="0"/>
        <w:autoSpaceDE w:val="0"/>
        <w:autoSpaceDN w:val="0"/>
        <w:adjustRightInd w:val="0"/>
        <w:ind w:left="2160"/>
      </w:pPr>
    </w:p>
    <w:tbl>
      <w:tblPr>
        <w:tblW w:w="0" w:type="auto"/>
        <w:tblInd w:w="2844" w:type="dxa"/>
        <w:tblLook w:val="0000" w:firstRow="0" w:lastRow="0" w:firstColumn="0" w:lastColumn="0" w:noHBand="0" w:noVBand="0"/>
      </w:tblPr>
      <w:tblGrid>
        <w:gridCol w:w="456"/>
        <w:gridCol w:w="399"/>
        <w:gridCol w:w="5877"/>
      </w:tblGrid>
      <w:tr w:rsidR="003C19AD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456" w:type="dxa"/>
          </w:tcPr>
          <w:p w:rsidR="003C19AD" w:rsidRDefault="003C19AD" w:rsidP="003C19AD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V</w:t>
            </w:r>
          </w:p>
        </w:tc>
        <w:tc>
          <w:tcPr>
            <w:tcW w:w="399" w:type="dxa"/>
          </w:tcPr>
          <w:p w:rsidR="003C19AD" w:rsidRDefault="003C19AD" w:rsidP="00F2793F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877" w:type="dxa"/>
          </w:tcPr>
          <w:p w:rsidR="003C19AD" w:rsidRDefault="003C19AD" w:rsidP="00F2793F">
            <w:pPr>
              <w:widowControl w:val="0"/>
              <w:autoSpaceDE w:val="0"/>
              <w:autoSpaceDN w:val="0"/>
              <w:adjustRightInd w:val="0"/>
            </w:pPr>
            <w:r>
              <w:t>Volume of the lagoon as constructed or modified, in cubic feet, including the freeboard volume</w:t>
            </w:r>
          </w:p>
        </w:tc>
      </w:tr>
      <w:tr w:rsidR="003C19AD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56" w:type="dxa"/>
          </w:tcPr>
          <w:p w:rsidR="003C19AD" w:rsidRDefault="003C19AD" w:rsidP="003C19AD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CF</w:t>
            </w:r>
          </w:p>
        </w:tc>
        <w:tc>
          <w:tcPr>
            <w:tcW w:w="399" w:type="dxa"/>
          </w:tcPr>
          <w:p w:rsidR="003C19AD" w:rsidRDefault="003C19AD" w:rsidP="00F2793F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877" w:type="dxa"/>
          </w:tcPr>
          <w:p w:rsidR="003C19AD" w:rsidRDefault="003C19AD" w:rsidP="00F2793F">
            <w:pPr>
              <w:widowControl w:val="0"/>
              <w:autoSpaceDE w:val="0"/>
              <w:autoSpaceDN w:val="0"/>
              <w:adjustRightInd w:val="0"/>
            </w:pPr>
            <w:r>
              <w:t>Cost factor determined pursuant to subsection (b) of this Section</w:t>
            </w:r>
          </w:p>
        </w:tc>
      </w:tr>
      <w:tr w:rsidR="003C19AD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3C19AD" w:rsidRDefault="003C19AD" w:rsidP="003C19AD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EC</w:t>
            </w:r>
          </w:p>
        </w:tc>
        <w:tc>
          <w:tcPr>
            <w:tcW w:w="399" w:type="dxa"/>
          </w:tcPr>
          <w:p w:rsidR="003C19AD" w:rsidRDefault="003C19AD" w:rsidP="00F2793F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877" w:type="dxa"/>
          </w:tcPr>
          <w:p w:rsidR="003C19AD" w:rsidRDefault="003C19AD" w:rsidP="00F2793F">
            <w:pPr>
              <w:widowControl w:val="0"/>
              <w:autoSpaceDE w:val="0"/>
              <w:autoSpaceDN w:val="0"/>
              <w:adjustRightInd w:val="0"/>
            </w:pPr>
            <w:r>
              <w:t>Engineering contingency determined under subsection (c) of this Section</w:t>
            </w:r>
          </w:p>
        </w:tc>
      </w:tr>
    </w:tbl>
    <w:p w:rsidR="00F2793F" w:rsidRDefault="00F2793F" w:rsidP="00F2793F">
      <w:pPr>
        <w:widowControl w:val="0"/>
        <w:autoSpaceDE w:val="0"/>
        <w:autoSpaceDN w:val="0"/>
        <w:adjustRightInd w:val="0"/>
      </w:pPr>
    </w:p>
    <w:p w:rsidR="00F2793F" w:rsidRDefault="00F2793F" w:rsidP="00F279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cost factor is obtained from the following: </w:t>
      </w:r>
    </w:p>
    <w:p w:rsidR="00031BCC" w:rsidRDefault="00031BCC" w:rsidP="00F2793F">
      <w:pPr>
        <w:widowControl w:val="0"/>
        <w:autoSpaceDE w:val="0"/>
        <w:autoSpaceDN w:val="0"/>
        <w:adjustRightInd w:val="0"/>
        <w:ind w:left="2160" w:hanging="720"/>
      </w:pPr>
    </w:p>
    <w:p w:rsidR="00F2793F" w:rsidRDefault="00F2793F" w:rsidP="00F279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Through December 31, 2002, the cost factor is 10 cents per cubic foot of lagoon volume. </w:t>
      </w:r>
    </w:p>
    <w:p w:rsidR="00031BCC" w:rsidRDefault="00031BCC" w:rsidP="00F2793F">
      <w:pPr>
        <w:widowControl w:val="0"/>
        <w:autoSpaceDE w:val="0"/>
        <w:autoSpaceDN w:val="0"/>
        <w:adjustRightInd w:val="0"/>
        <w:ind w:left="2160" w:hanging="720"/>
      </w:pPr>
    </w:p>
    <w:p w:rsidR="00F2793F" w:rsidRDefault="00F2793F" w:rsidP="00F279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 and after January 1, 2003 through December 31, 2007, the cost factor is 12 cents per cubic foot of lagoon volume. </w:t>
      </w:r>
    </w:p>
    <w:p w:rsidR="00031BCC" w:rsidRDefault="00031BCC" w:rsidP="00F2793F">
      <w:pPr>
        <w:widowControl w:val="0"/>
        <w:autoSpaceDE w:val="0"/>
        <w:autoSpaceDN w:val="0"/>
        <w:adjustRightInd w:val="0"/>
        <w:ind w:left="2160" w:hanging="720"/>
      </w:pPr>
    </w:p>
    <w:p w:rsidR="00F2793F" w:rsidRDefault="00F2793F" w:rsidP="00F279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On and after January 1, 2008, the cost factor is 15 cents per cubic foot of lagoon volume. </w:t>
      </w:r>
    </w:p>
    <w:p w:rsidR="00031BCC" w:rsidRDefault="00031BCC" w:rsidP="00F2793F">
      <w:pPr>
        <w:widowControl w:val="0"/>
        <w:autoSpaceDE w:val="0"/>
        <w:autoSpaceDN w:val="0"/>
        <w:adjustRightInd w:val="0"/>
        <w:ind w:left="1440" w:hanging="720"/>
      </w:pPr>
    </w:p>
    <w:p w:rsidR="00F2793F" w:rsidRDefault="00F2793F" w:rsidP="00F279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engineering contingency is equal to 10% of (V x CF). </w:t>
      </w:r>
    </w:p>
    <w:sectPr w:rsidR="00F2793F" w:rsidSect="00F27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93F"/>
    <w:rsid w:val="00031BCC"/>
    <w:rsid w:val="001678D1"/>
    <w:rsid w:val="003C19AD"/>
    <w:rsid w:val="0085206F"/>
    <w:rsid w:val="00AD1B0F"/>
    <w:rsid w:val="00F2793F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