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57" w:rsidRDefault="00594B57" w:rsidP="00594B57">
      <w:pPr>
        <w:widowControl w:val="0"/>
        <w:autoSpaceDE w:val="0"/>
        <w:autoSpaceDN w:val="0"/>
        <w:adjustRightInd w:val="0"/>
      </w:pPr>
      <w:bookmarkStart w:id="0" w:name="_GoBack"/>
      <w:bookmarkEnd w:id="0"/>
    </w:p>
    <w:p w:rsidR="00594B57" w:rsidRDefault="00594B57" w:rsidP="00594B57">
      <w:pPr>
        <w:widowControl w:val="0"/>
        <w:autoSpaceDE w:val="0"/>
        <w:autoSpaceDN w:val="0"/>
        <w:adjustRightInd w:val="0"/>
      </w:pPr>
      <w:r>
        <w:rPr>
          <w:b/>
          <w:bCs/>
        </w:rPr>
        <w:t>Section 650.210  Transfer of Title of Land Which Has Received Cost-Sharing Funds</w:t>
      </w:r>
      <w:r>
        <w:t xml:space="preserve"> </w:t>
      </w:r>
    </w:p>
    <w:p w:rsidR="00594B57" w:rsidRDefault="00594B57" w:rsidP="00594B57">
      <w:pPr>
        <w:widowControl w:val="0"/>
        <w:autoSpaceDE w:val="0"/>
        <w:autoSpaceDN w:val="0"/>
        <w:adjustRightInd w:val="0"/>
      </w:pPr>
    </w:p>
    <w:p w:rsidR="00594B57" w:rsidRDefault="00594B57" w:rsidP="00594B57">
      <w:pPr>
        <w:widowControl w:val="0"/>
        <w:autoSpaceDE w:val="0"/>
        <w:autoSpaceDN w:val="0"/>
        <w:adjustRightInd w:val="0"/>
      </w:pPr>
      <w:r>
        <w:t xml:space="preserve">If the title to land upon which an enduring erosion or sediment control device, structure or practice has been applied and cost-sharing funds paid is transferred to another individual during the period of the minimum lifespan of the device, structure or practice, the new owner is accountable to the Department for maintaining the structure, device or practice for its minimum lifespan. It is the responsibility of the landowner who contracted for the cost-sharing funds to inform the new owner of this obligation. A contract for an enduring erosion or sediment control device, structure or practice shall be recorded with the county recorder. </w:t>
      </w:r>
    </w:p>
    <w:sectPr w:rsidR="00594B57" w:rsidSect="00594B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B57"/>
    <w:rsid w:val="001678D1"/>
    <w:rsid w:val="00290850"/>
    <w:rsid w:val="00506840"/>
    <w:rsid w:val="00594B57"/>
    <w:rsid w:val="008A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