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23" w:rsidRDefault="00CF5F23" w:rsidP="00CF5F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5F23" w:rsidRDefault="00CF5F23" w:rsidP="00CF5F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650.200  Cost-Sharing Funds Available from Other Sources</w:t>
      </w:r>
      <w:r>
        <w:t xml:space="preserve"> </w:t>
      </w:r>
    </w:p>
    <w:p w:rsidR="00CF5F23" w:rsidRDefault="00CF5F23" w:rsidP="00CF5F23">
      <w:pPr>
        <w:widowControl w:val="0"/>
        <w:autoSpaceDE w:val="0"/>
        <w:autoSpaceDN w:val="0"/>
        <w:adjustRightInd w:val="0"/>
      </w:pPr>
    </w:p>
    <w:p w:rsidR="00CF5F23" w:rsidRDefault="00CF5F23" w:rsidP="00CF5F23">
      <w:pPr>
        <w:widowControl w:val="0"/>
        <w:autoSpaceDE w:val="0"/>
        <w:autoSpaceDN w:val="0"/>
        <w:adjustRightInd w:val="0"/>
      </w:pPr>
      <w:r>
        <w:t xml:space="preserve">Where the State is involved in cost-sharing on the balance of the difference between the total eligible cost and amount of funds received from another source, total cost-sharing from all sources shall not exceed 75%. </w:t>
      </w:r>
    </w:p>
    <w:p w:rsidR="00CF5F23" w:rsidRDefault="00CF5F23" w:rsidP="00CF5F23">
      <w:pPr>
        <w:widowControl w:val="0"/>
        <w:autoSpaceDE w:val="0"/>
        <w:autoSpaceDN w:val="0"/>
        <w:adjustRightInd w:val="0"/>
      </w:pPr>
    </w:p>
    <w:p w:rsidR="00CF5F23" w:rsidRDefault="00CF5F23" w:rsidP="00CF5F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5482, effective April 15, 1982) </w:t>
      </w:r>
    </w:p>
    <w:sectPr w:rsidR="00CF5F23" w:rsidSect="00CF5F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5F23"/>
    <w:rsid w:val="001678D1"/>
    <w:rsid w:val="008D44D1"/>
    <w:rsid w:val="00BC75C0"/>
    <w:rsid w:val="00C817A3"/>
    <w:rsid w:val="00C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