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7F" w:rsidRDefault="00972C7F" w:rsidP="00972C7F">
      <w:pPr>
        <w:widowControl w:val="0"/>
        <w:autoSpaceDE w:val="0"/>
        <w:autoSpaceDN w:val="0"/>
        <w:adjustRightInd w:val="0"/>
      </w:pPr>
      <w:bookmarkStart w:id="0" w:name="_GoBack"/>
      <w:bookmarkEnd w:id="0"/>
    </w:p>
    <w:p w:rsidR="00972C7F" w:rsidRDefault="00972C7F" w:rsidP="00972C7F">
      <w:pPr>
        <w:widowControl w:val="0"/>
        <w:autoSpaceDE w:val="0"/>
        <w:autoSpaceDN w:val="0"/>
        <w:adjustRightInd w:val="0"/>
      </w:pPr>
      <w:r>
        <w:rPr>
          <w:b/>
          <w:bCs/>
        </w:rPr>
        <w:t>Section 230.180  Germination as to Mixtures</w:t>
      </w:r>
      <w:r>
        <w:t xml:space="preserve"> </w:t>
      </w:r>
    </w:p>
    <w:p w:rsidR="00972C7F" w:rsidRDefault="00972C7F" w:rsidP="00972C7F">
      <w:pPr>
        <w:widowControl w:val="0"/>
        <w:autoSpaceDE w:val="0"/>
        <w:autoSpaceDN w:val="0"/>
        <w:adjustRightInd w:val="0"/>
      </w:pPr>
    </w:p>
    <w:p w:rsidR="00972C7F" w:rsidRDefault="00972C7F" w:rsidP="00972C7F">
      <w:pPr>
        <w:widowControl w:val="0"/>
        <w:autoSpaceDE w:val="0"/>
        <w:autoSpaceDN w:val="0"/>
        <w:adjustRightInd w:val="0"/>
      </w:pPr>
      <w:r>
        <w:t xml:space="preserve">The rules and methods adopted and approved by the Association of Official Seed Analysts of North America are adopted by the State Seed Laboratory for the testing and germination of all crop and vegetable seed, so long as they comply with the Illinois Seed Law.  When samples of field seed contain less than 2% of such seed as alsike clover, ladino and white dutch clovers, or other seed of similar size, it will not be necessary to test such components for germination.  When 100 seeds or less is found in excess of 2%, the germination test shall be made from the seeds obtained and percentages taken.  When less than 2% of any of the components are found, it will not be necessary to test for germination on such components. </w:t>
      </w:r>
    </w:p>
    <w:sectPr w:rsidR="00972C7F" w:rsidSect="00972C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2C7F"/>
    <w:rsid w:val="001678D1"/>
    <w:rsid w:val="007529D3"/>
    <w:rsid w:val="00972C7F"/>
    <w:rsid w:val="009D3676"/>
    <w:rsid w:val="00E3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