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B" w:rsidRDefault="00594C2B" w:rsidP="00EA67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4C2B" w:rsidRDefault="00594C2B" w:rsidP="00EA67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220.210  Noxious Weeds Designated as Capable of Dissemination Through Articles</w:t>
      </w:r>
      <w:r>
        <w:t xml:space="preserve"> </w:t>
      </w:r>
    </w:p>
    <w:p w:rsidR="00594C2B" w:rsidRDefault="00594C2B" w:rsidP="00EA674D">
      <w:pPr>
        <w:widowControl w:val="0"/>
        <w:autoSpaceDE w:val="0"/>
        <w:autoSpaceDN w:val="0"/>
        <w:adjustRightInd w:val="0"/>
      </w:pPr>
    </w:p>
    <w:p w:rsidR="00594C2B" w:rsidRDefault="00594C2B" w:rsidP="00EA674D">
      <w:pPr>
        <w:widowControl w:val="0"/>
        <w:autoSpaceDE w:val="0"/>
        <w:autoSpaceDN w:val="0"/>
        <w:adjustRightInd w:val="0"/>
      </w:pPr>
      <w:r>
        <w:t xml:space="preserve">The following noxious weeds are designated as being capable of dissemination through articles as outlined in Section 220.220. </w:t>
      </w:r>
    </w:p>
    <w:p w:rsidR="004D1FB0" w:rsidRDefault="004D1FB0" w:rsidP="00EA674D">
      <w:pPr>
        <w:widowControl w:val="0"/>
        <w:autoSpaceDE w:val="0"/>
        <w:autoSpaceDN w:val="0"/>
        <w:adjustRightInd w:val="0"/>
      </w:pPr>
    </w:p>
    <w:p w:rsidR="00594C2B" w:rsidRDefault="00594C2B" w:rsidP="00EA674D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>Marihuana (Cannabis sativa L.)</w:t>
      </w:r>
      <w:r w:rsidR="007B423E" w:rsidRPr="00515538">
        <w:t>;</w:t>
      </w:r>
      <w:r>
        <w:t xml:space="preserve"> </w:t>
      </w:r>
    </w:p>
    <w:p w:rsidR="004D1FB0" w:rsidRDefault="004D1FB0" w:rsidP="00EA674D">
      <w:pPr>
        <w:widowControl w:val="0"/>
        <w:autoSpaceDE w:val="0"/>
        <w:autoSpaceDN w:val="0"/>
        <w:adjustRightInd w:val="0"/>
        <w:ind w:firstLine="720"/>
      </w:pPr>
    </w:p>
    <w:p w:rsidR="00594C2B" w:rsidRDefault="00594C2B" w:rsidP="00EA674D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>Canada Thistle (Cirsium arvense)</w:t>
      </w:r>
      <w:r w:rsidR="007B423E" w:rsidRPr="00515538">
        <w:t>;</w:t>
      </w:r>
      <w:r>
        <w:t xml:space="preserve"> </w:t>
      </w:r>
    </w:p>
    <w:p w:rsidR="004D1FB0" w:rsidRDefault="004D1FB0" w:rsidP="00EA674D">
      <w:pPr>
        <w:widowControl w:val="0"/>
        <w:autoSpaceDE w:val="0"/>
        <w:autoSpaceDN w:val="0"/>
        <w:adjustRightInd w:val="0"/>
        <w:ind w:firstLine="720"/>
      </w:pPr>
    </w:p>
    <w:p w:rsidR="00594C2B" w:rsidRDefault="00594C2B" w:rsidP="00EA674D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Perennial </w:t>
      </w:r>
      <w:proofErr w:type="spellStart"/>
      <w:r>
        <w:t>Sowthistle</w:t>
      </w:r>
      <w:proofErr w:type="spellEnd"/>
      <w:r>
        <w:t xml:space="preserve"> (Sonchus arvensis)</w:t>
      </w:r>
      <w:r w:rsidR="007B423E" w:rsidRPr="00515538">
        <w:t>;</w:t>
      </w:r>
      <w:r w:rsidRPr="00515538">
        <w:t xml:space="preserve"> </w:t>
      </w:r>
    </w:p>
    <w:p w:rsidR="004D1FB0" w:rsidRDefault="004D1FB0" w:rsidP="00EA674D">
      <w:pPr>
        <w:widowControl w:val="0"/>
        <w:autoSpaceDE w:val="0"/>
        <w:autoSpaceDN w:val="0"/>
        <w:adjustRightInd w:val="0"/>
        <w:ind w:firstLine="720"/>
      </w:pPr>
    </w:p>
    <w:p w:rsidR="00594C2B" w:rsidRDefault="00594C2B" w:rsidP="00EA674D">
      <w:pPr>
        <w:widowControl w:val="0"/>
        <w:autoSpaceDE w:val="0"/>
        <w:autoSpaceDN w:val="0"/>
        <w:adjustRightInd w:val="0"/>
        <w:ind w:firstLine="720"/>
      </w:pPr>
      <w:r>
        <w:t>d)</w:t>
      </w:r>
      <w:r>
        <w:tab/>
        <w:t>Musk Thistle (Carduus nutans)</w:t>
      </w:r>
      <w:r w:rsidR="007B423E" w:rsidRPr="00515538">
        <w:t>;</w:t>
      </w:r>
      <w:r w:rsidRPr="00515538">
        <w:t xml:space="preserve"> </w:t>
      </w:r>
    </w:p>
    <w:p w:rsidR="004D1FB0" w:rsidRDefault="004D1FB0" w:rsidP="00EA674D">
      <w:pPr>
        <w:widowControl w:val="0"/>
        <w:autoSpaceDE w:val="0"/>
        <w:autoSpaceDN w:val="0"/>
        <w:adjustRightInd w:val="0"/>
        <w:ind w:left="1440" w:hanging="720"/>
      </w:pPr>
    </w:p>
    <w:p w:rsidR="00594C2B" w:rsidRDefault="00594C2B" w:rsidP="00EA674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Perennial members of the sorghum genus</w:t>
      </w:r>
      <w:r w:rsidR="007B423E" w:rsidRPr="006F498D">
        <w:t>,</w:t>
      </w:r>
      <w:r>
        <w:t xml:space="preserve"> including johnsongrass (Sorghum halepense), sorghum almum, and other johnsongrass X sorghum crosses with rhizomes</w:t>
      </w:r>
      <w:r w:rsidR="007B423E" w:rsidRPr="00515538">
        <w:t>; and</w:t>
      </w:r>
      <w:r>
        <w:t xml:space="preserve"> </w:t>
      </w:r>
    </w:p>
    <w:p w:rsidR="004D1FB0" w:rsidRDefault="004D1FB0" w:rsidP="00EA674D">
      <w:pPr>
        <w:widowControl w:val="0"/>
        <w:autoSpaceDE w:val="0"/>
        <w:autoSpaceDN w:val="0"/>
        <w:adjustRightInd w:val="0"/>
        <w:ind w:firstLine="720"/>
      </w:pPr>
    </w:p>
    <w:p w:rsidR="007B423E" w:rsidRPr="00515538" w:rsidRDefault="007B423E" w:rsidP="00EA674D">
      <w:pPr>
        <w:widowControl w:val="0"/>
        <w:autoSpaceDE w:val="0"/>
        <w:autoSpaceDN w:val="0"/>
        <w:adjustRightInd w:val="0"/>
        <w:ind w:firstLine="720"/>
      </w:pPr>
      <w:r w:rsidRPr="00515538">
        <w:t>f)</w:t>
      </w:r>
      <w:r w:rsidRPr="00515538">
        <w:tab/>
        <w:t>Kudzu (</w:t>
      </w:r>
      <w:proofErr w:type="spellStart"/>
      <w:r w:rsidRPr="00515538">
        <w:t>Pueraria</w:t>
      </w:r>
      <w:proofErr w:type="spellEnd"/>
      <w:r w:rsidRPr="00515538">
        <w:t xml:space="preserve"> lobata). </w:t>
      </w:r>
    </w:p>
    <w:p w:rsidR="007B423E" w:rsidRDefault="007B423E" w:rsidP="00EA674D">
      <w:pPr>
        <w:widowControl w:val="0"/>
        <w:autoSpaceDE w:val="0"/>
        <w:autoSpaceDN w:val="0"/>
        <w:adjustRightInd w:val="0"/>
      </w:pPr>
    </w:p>
    <w:p w:rsidR="007B423E" w:rsidRPr="00D55B37" w:rsidRDefault="007B423E" w:rsidP="00EA674D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FC23AE">
        <w:t>14644</w:t>
      </w:r>
      <w:r w:rsidRPr="00D55B37">
        <w:t xml:space="preserve">, effective </w:t>
      </w:r>
      <w:r w:rsidR="00FC23AE">
        <w:t>September 23, 2002</w:t>
      </w:r>
      <w:r w:rsidRPr="00D55B37">
        <w:t>)</w:t>
      </w:r>
    </w:p>
    <w:sectPr w:rsidR="007B423E" w:rsidRPr="00D55B37" w:rsidSect="00EA674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C2B"/>
    <w:rsid w:val="000B59B3"/>
    <w:rsid w:val="004D1FB0"/>
    <w:rsid w:val="00515538"/>
    <w:rsid w:val="00594C2B"/>
    <w:rsid w:val="006F498D"/>
    <w:rsid w:val="007B423E"/>
    <w:rsid w:val="0087233C"/>
    <w:rsid w:val="00A16466"/>
    <w:rsid w:val="00C97A4D"/>
    <w:rsid w:val="00EA674D"/>
    <w:rsid w:val="00F506CA"/>
    <w:rsid w:val="00FC23AE"/>
    <w:rsid w:val="00F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4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4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LambTR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