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071" w:rsidRDefault="001F6071" w:rsidP="001F6071">
      <w:pPr>
        <w:widowControl w:val="0"/>
        <w:autoSpaceDE w:val="0"/>
        <w:autoSpaceDN w:val="0"/>
        <w:adjustRightInd w:val="0"/>
      </w:pPr>
      <w:bookmarkStart w:id="0" w:name="_GoBack"/>
      <w:bookmarkEnd w:id="0"/>
    </w:p>
    <w:p w:rsidR="001F6071" w:rsidRDefault="001F6071" w:rsidP="001F6071">
      <w:pPr>
        <w:widowControl w:val="0"/>
        <w:autoSpaceDE w:val="0"/>
        <w:autoSpaceDN w:val="0"/>
        <w:adjustRightInd w:val="0"/>
      </w:pPr>
      <w:r>
        <w:rPr>
          <w:b/>
          <w:bCs/>
        </w:rPr>
        <w:t xml:space="preserve">Section 215.90  Refrigerated Storage </w:t>
      </w:r>
    </w:p>
    <w:p w:rsidR="001F6071" w:rsidRDefault="001F6071" w:rsidP="001F6071">
      <w:pPr>
        <w:widowControl w:val="0"/>
        <w:autoSpaceDE w:val="0"/>
        <w:autoSpaceDN w:val="0"/>
        <w:adjustRightInd w:val="0"/>
      </w:pPr>
    </w:p>
    <w:p w:rsidR="001F6071" w:rsidRPr="00FB4F8F" w:rsidRDefault="001F6071" w:rsidP="001F6071">
      <w:pPr>
        <w:widowControl w:val="0"/>
        <w:ind w:left="1440" w:hanging="720"/>
        <w:rPr>
          <w:bCs/>
        </w:rPr>
      </w:pPr>
      <w:r w:rsidRPr="00FB4F8F">
        <w:rPr>
          <w:bCs/>
        </w:rPr>
        <w:t>a)</w:t>
      </w:r>
      <w:r>
        <w:rPr>
          <w:bCs/>
        </w:rPr>
        <w:tab/>
      </w:r>
      <w:r w:rsidRPr="00FB4F8F">
        <w:rPr>
          <w:bCs/>
        </w:rPr>
        <w:t xml:space="preserve">This </w:t>
      </w:r>
      <w:r>
        <w:rPr>
          <w:bCs/>
        </w:rPr>
        <w:t>S</w:t>
      </w:r>
      <w:r w:rsidRPr="00FB4F8F">
        <w:rPr>
          <w:bCs/>
        </w:rPr>
        <w:t xml:space="preserve">ection applies specifically to systems using tanks for storage of anhydrous ammonia under refrigerated conditions.  Section 215.25 applies to this </w:t>
      </w:r>
      <w:r>
        <w:rPr>
          <w:bCs/>
        </w:rPr>
        <w:t>S</w:t>
      </w:r>
      <w:r w:rsidRPr="00FB4F8F">
        <w:rPr>
          <w:bCs/>
        </w:rPr>
        <w:t>ection unless otherwise stated.</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b)</w:t>
      </w:r>
      <w:r>
        <w:rPr>
          <w:bCs/>
        </w:rPr>
        <w:tab/>
      </w:r>
      <w:r w:rsidRPr="00FB4F8F">
        <w:rPr>
          <w:bCs/>
        </w:rPr>
        <w:t>Tanks may be designed for any storage pressure desired as determined by economical design of the refrigerated system.</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c)</w:t>
      </w:r>
      <w:r>
        <w:rPr>
          <w:bCs/>
        </w:rPr>
        <w:tab/>
      </w:r>
      <w:r w:rsidRPr="00FB4F8F">
        <w:rPr>
          <w:bCs/>
        </w:rPr>
        <w:t>The design temperature shall be the minimum temperature to which the container will be refrigerated and shall be so designated.</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d)</w:t>
      </w:r>
      <w:r>
        <w:rPr>
          <w:bCs/>
        </w:rPr>
        <w:tab/>
      </w:r>
      <w:r w:rsidRPr="00FB4F8F">
        <w:rPr>
          <w:bCs/>
        </w:rPr>
        <w:t xml:space="preserve">Containers with a design pressure exceeding 15 psig shall be constructed in accordance with </w:t>
      </w:r>
      <w:r>
        <w:rPr>
          <w:bCs/>
        </w:rPr>
        <w:t xml:space="preserve">Section </w:t>
      </w:r>
      <w:r w:rsidRPr="00FB4F8F">
        <w:rPr>
          <w:bCs/>
        </w:rPr>
        <w:t xml:space="preserve">215.25 and the material shall be selected from those listed in </w:t>
      </w:r>
      <w:smartTag w:uri="urn:schemas-microsoft-com:office:smarttags" w:element="stockticker">
        <w:r w:rsidRPr="00FB4F8F">
          <w:rPr>
            <w:bCs/>
          </w:rPr>
          <w:t>API</w:t>
        </w:r>
      </w:smartTag>
      <w:r w:rsidRPr="00FB4F8F">
        <w:rPr>
          <w:bCs/>
        </w:rPr>
        <w:t xml:space="preserve"> Standard 620, Design and Construction of Large, Welded, Low-Pressure Storage Tanks, Tables 2.02, R.2.2, R.2.3, or R.2.4.</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e)</w:t>
      </w:r>
      <w:r>
        <w:rPr>
          <w:bCs/>
        </w:rPr>
        <w:tab/>
      </w:r>
      <w:r w:rsidRPr="00FB4F8F">
        <w:rPr>
          <w:bCs/>
        </w:rPr>
        <w:t xml:space="preserve">Tanks with a design pressure of 15 psig or less shall be constructed in accordance with the general requirements of </w:t>
      </w:r>
      <w:smartTag w:uri="urn:schemas-microsoft-com:office:smarttags" w:element="stockticker">
        <w:r w:rsidRPr="00FB4F8F">
          <w:rPr>
            <w:bCs/>
          </w:rPr>
          <w:t>API</w:t>
        </w:r>
      </w:smartTag>
      <w:r w:rsidRPr="00FB4F8F">
        <w:rPr>
          <w:bCs/>
        </w:rPr>
        <w:t xml:space="preserve"> Standard 620, including Appendix R.</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f)</w:t>
      </w:r>
      <w:r>
        <w:rPr>
          <w:bCs/>
        </w:rPr>
        <w:tab/>
      </w:r>
      <w:r w:rsidRPr="00FB4F8F">
        <w:rPr>
          <w:bCs/>
        </w:rPr>
        <w:t>When austenitic stainless steels or nonferrous metals are used, the ASME Code shall be used as a guide in selection of materials for use at the design temperature.</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g)</w:t>
      </w:r>
      <w:r>
        <w:rPr>
          <w:bCs/>
        </w:rPr>
        <w:tab/>
      </w:r>
      <w:r w:rsidRPr="00FB4F8F">
        <w:rPr>
          <w:bCs/>
        </w:rPr>
        <w:t>Tanks shall be supported on suitable noncombustible foundations designed to accommodate the type of tank being used.</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h)</w:t>
      </w:r>
      <w:r>
        <w:rPr>
          <w:bCs/>
        </w:rPr>
        <w:tab/>
      </w:r>
      <w:r w:rsidRPr="00FB4F8F">
        <w:rPr>
          <w:bCs/>
        </w:rPr>
        <w:t>Adequate protection against flotation or other water damage shall be provided wherever high flood water might occur.</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i)</w:t>
      </w:r>
      <w:r>
        <w:rPr>
          <w:bCs/>
        </w:rPr>
        <w:tab/>
      </w:r>
      <w:r w:rsidRPr="00FB4F8F">
        <w:rPr>
          <w:bCs/>
        </w:rPr>
        <w:t>Tanks storing product at less than 32</w:t>
      </w:r>
      <w:r>
        <w:rPr>
          <w:bCs/>
        </w:rPr>
        <w:t>°</w:t>
      </w:r>
      <w:r w:rsidRPr="00FB4F8F">
        <w:rPr>
          <w:bCs/>
        </w:rPr>
        <w:t>F shall be supported in such a way, or heat shall be supplied, to prevent the effects of freezing and subsequent frost heaving of the soil.</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j)</w:t>
      </w:r>
      <w:r>
        <w:rPr>
          <w:bCs/>
        </w:rPr>
        <w:tab/>
      </w:r>
      <w:r w:rsidRPr="00FB4F8F">
        <w:rPr>
          <w:bCs/>
        </w:rPr>
        <w:t>The area surrounding a refrigerated tank, or group of such tanks, shall be provided with drainage, diked, or provided with other secondary containment systems to prevent accidental discharge of liquid from spreading to uncontrolled areas.</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k)</w:t>
      </w:r>
      <w:r>
        <w:rPr>
          <w:bCs/>
        </w:rPr>
        <w:tab/>
      </w:r>
      <w:r w:rsidRPr="00FB4F8F">
        <w:rPr>
          <w:bCs/>
        </w:rPr>
        <w:t>When drainage is employed, a slope of not less than 1% shall be provided.  The drainage system shall terminate in an impounding basin having a capacity as large as the largest tank served.</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l)</w:t>
      </w:r>
      <w:r>
        <w:rPr>
          <w:bCs/>
        </w:rPr>
        <w:tab/>
      </w:r>
      <w:r w:rsidRPr="00FB4F8F">
        <w:rPr>
          <w:bCs/>
        </w:rPr>
        <w:t>Provision shall be made for the drainage of rain water from the dike or impounding area.  Such drainage shall be provided with a positive means to stop the flow.</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lastRenderedPageBreak/>
        <w:t>m)</w:t>
      </w:r>
      <w:r>
        <w:rPr>
          <w:bCs/>
        </w:rPr>
        <w:tab/>
      </w:r>
      <w:r w:rsidRPr="00FB4F8F">
        <w:rPr>
          <w:bCs/>
        </w:rPr>
        <w:t>Where a dike is employed, the capacity of the diked enclosure shall be 110% of the capacity of the largest tank served.  When computing the volume of the dike, allowance shall be made for the volume displaced by all other containers in the diked area.</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n)</w:t>
      </w:r>
      <w:r>
        <w:rPr>
          <w:bCs/>
        </w:rPr>
        <w:tab/>
      </w:r>
      <w:r w:rsidRPr="00FB4F8F">
        <w:rPr>
          <w:bCs/>
        </w:rPr>
        <w:t>The walls of a diked enclosure or the wall of an impounding basin used in a drainage system shall be of earth, steel, concrete, or other suitable material designed to be liquid tight and to withstand the hydrostatic pressure and temperature.  Earth walls shall have a flat top at least 2 feet wide.  The slope shall be stable and consistent with the angle of repose of the earth used.</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o)</w:t>
      </w:r>
      <w:r>
        <w:rPr>
          <w:bCs/>
        </w:rPr>
        <w:tab/>
      </w:r>
      <w:r w:rsidRPr="00FB4F8F">
        <w:rPr>
          <w:bCs/>
        </w:rPr>
        <w:t>The ground in an impounding basin or with a diked enclosure should be graded so that small spills or the early part of a large spill will accumulate at one side or corner, thereby contacting only a relatively small area of ground and exposing a relatively small area for heat gain.  Shallow channels in the ground surface or low curbs of earth can help guide the liquid to these low areas without contacting a large ground area.</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p)</w:t>
      </w:r>
      <w:r>
        <w:rPr>
          <w:bCs/>
        </w:rPr>
        <w:tab/>
      </w:r>
      <w:r w:rsidRPr="00FB4F8F">
        <w:rPr>
          <w:bCs/>
        </w:rPr>
        <w:t xml:space="preserve">Each refrigerated container shall be marked with a nameplate on the outer covering in an accessible place as specified in the following: </w:t>
      </w:r>
    </w:p>
    <w:p w:rsidR="001F6071" w:rsidRDefault="001F6071" w:rsidP="001F6071">
      <w:pPr>
        <w:widowControl w:val="0"/>
        <w:ind w:left="2160" w:hanging="720"/>
        <w:rPr>
          <w:bCs/>
        </w:rPr>
      </w:pPr>
    </w:p>
    <w:p w:rsidR="001F6071" w:rsidRPr="00FB4F8F" w:rsidRDefault="001F6071" w:rsidP="001F6071">
      <w:pPr>
        <w:widowControl w:val="0"/>
        <w:ind w:left="2160" w:hanging="720"/>
        <w:rPr>
          <w:bCs/>
        </w:rPr>
      </w:pPr>
      <w:r w:rsidRPr="00FB4F8F">
        <w:rPr>
          <w:bCs/>
        </w:rPr>
        <w:t>1)</w:t>
      </w:r>
      <w:r>
        <w:rPr>
          <w:bCs/>
        </w:rPr>
        <w:tab/>
      </w:r>
      <w:r w:rsidRPr="00FB4F8F">
        <w:rPr>
          <w:bCs/>
        </w:rPr>
        <w:t>With the name and address of the builder and the date of fabrication;</w:t>
      </w:r>
    </w:p>
    <w:p w:rsidR="001F6071" w:rsidRDefault="001F6071" w:rsidP="001F6071">
      <w:pPr>
        <w:widowControl w:val="0"/>
        <w:ind w:left="2160" w:hanging="720"/>
        <w:rPr>
          <w:bCs/>
        </w:rPr>
      </w:pPr>
    </w:p>
    <w:p w:rsidR="001F6071" w:rsidRPr="00FB4F8F" w:rsidRDefault="001F6071" w:rsidP="001F6071">
      <w:pPr>
        <w:widowControl w:val="0"/>
        <w:ind w:left="2160" w:hanging="720"/>
        <w:rPr>
          <w:bCs/>
        </w:rPr>
      </w:pPr>
      <w:r w:rsidRPr="00FB4F8F">
        <w:rPr>
          <w:bCs/>
        </w:rPr>
        <w:t>2)</w:t>
      </w:r>
      <w:r>
        <w:rPr>
          <w:bCs/>
        </w:rPr>
        <w:tab/>
      </w:r>
      <w:r w:rsidRPr="00FB4F8F">
        <w:rPr>
          <w:bCs/>
        </w:rPr>
        <w:t>With the maximum volume or weight of the product, whichever is most meaningful to the user;</w:t>
      </w:r>
    </w:p>
    <w:p w:rsidR="001F6071" w:rsidRDefault="001F6071" w:rsidP="001F6071">
      <w:pPr>
        <w:widowControl w:val="0"/>
        <w:ind w:left="720" w:firstLine="720"/>
        <w:rPr>
          <w:bCs/>
        </w:rPr>
      </w:pPr>
    </w:p>
    <w:p w:rsidR="001F6071" w:rsidRPr="00FB4F8F" w:rsidRDefault="001F6071" w:rsidP="001F6071">
      <w:pPr>
        <w:widowControl w:val="0"/>
        <w:ind w:left="720" w:firstLine="720"/>
        <w:rPr>
          <w:bCs/>
        </w:rPr>
      </w:pPr>
      <w:r w:rsidRPr="00FB4F8F">
        <w:rPr>
          <w:bCs/>
        </w:rPr>
        <w:t>3)</w:t>
      </w:r>
      <w:r>
        <w:rPr>
          <w:bCs/>
        </w:rPr>
        <w:tab/>
      </w:r>
      <w:r w:rsidRPr="00FB4F8F">
        <w:rPr>
          <w:bCs/>
        </w:rPr>
        <w:t>With the design pressure;</w:t>
      </w:r>
    </w:p>
    <w:p w:rsidR="001F6071" w:rsidRDefault="001F6071" w:rsidP="001F6071">
      <w:pPr>
        <w:widowControl w:val="0"/>
        <w:ind w:left="2160" w:hanging="720"/>
        <w:rPr>
          <w:bCs/>
        </w:rPr>
      </w:pPr>
    </w:p>
    <w:p w:rsidR="001F6071" w:rsidRPr="00FB4F8F" w:rsidRDefault="001F6071" w:rsidP="001F6071">
      <w:pPr>
        <w:widowControl w:val="0"/>
        <w:ind w:left="2160" w:hanging="720"/>
        <w:rPr>
          <w:bCs/>
        </w:rPr>
      </w:pPr>
      <w:r w:rsidRPr="00FB4F8F">
        <w:rPr>
          <w:bCs/>
        </w:rPr>
        <w:t>4)</w:t>
      </w:r>
      <w:r>
        <w:rPr>
          <w:bCs/>
        </w:rPr>
        <w:tab/>
      </w:r>
      <w:r w:rsidRPr="00FB4F8F">
        <w:rPr>
          <w:bCs/>
        </w:rPr>
        <w:t>With the minimum temperatures in degrees Fahrenheit (</w:t>
      </w:r>
      <w:r>
        <w:rPr>
          <w:bCs/>
        </w:rPr>
        <w:t>°</w:t>
      </w:r>
      <w:r w:rsidRPr="00FB4F8F">
        <w:rPr>
          <w:bCs/>
        </w:rPr>
        <w:t>F) or degrees Celsius (</w:t>
      </w:r>
      <w:r>
        <w:rPr>
          <w:bCs/>
        </w:rPr>
        <w:t>°</w:t>
      </w:r>
      <w:r w:rsidRPr="00FB4F8F">
        <w:rPr>
          <w:bCs/>
        </w:rPr>
        <w:t>C) for which the container was designed;</w:t>
      </w:r>
    </w:p>
    <w:p w:rsidR="001F6071" w:rsidRDefault="001F6071" w:rsidP="001F6071">
      <w:pPr>
        <w:widowControl w:val="0"/>
        <w:ind w:left="2160" w:hanging="720"/>
        <w:rPr>
          <w:bCs/>
        </w:rPr>
      </w:pPr>
    </w:p>
    <w:p w:rsidR="001F6071" w:rsidRPr="00FB4F8F" w:rsidRDefault="001F6071" w:rsidP="001F6071">
      <w:pPr>
        <w:widowControl w:val="0"/>
        <w:ind w:left="2160" w:hanging="720"/>
        <w:rPr>
          <w:bCs/>
        </w:rPr>
      </w:pPr>
      <w:r w:rsidRPr="00FB4F8F">
        <w:rPr>
          <w:bCs/>
        </w:rPr>
        <w:t>5)</w:t>
      </w:r>
      <w:r>
        <w:rPr>
          <w:bCs/>
        </w:rPr>
        <w:tab/>
      </w:r>
      <w:r w:rsidRPr="00FB4F8F">
        <w:rPr>
          <w:bCs/>
        </w:rPr>
        <w:t>With the maximum allowable water level to which the container may be filled for the test purposes;</w:t>
      </w:r>
    </w:p>
    <w:p w:rsidR="001F6071" w:rsidRDefault="001F6071" w:rsidP="001F6071">
      <w:pPr>
        <w:widowControl w:val="0"/>
        <w:ind w:left="2160" w:hanging="720"/>
        <w:rPr>
          <w:bCs/>
        </w:rPr>
      </w:pPr>
    </w:p>
    <w:p w:rsidR="001F6071" w:rsidRPr="00FB4F8F" w:rsidRDefault="001F6071" w:rsidP="001F6071">
      <w:pPr>
        <w:widowControl w:val="0"/>
        <w:ind w:left="2160" w:hanging="720"/>
        <w:rPr>
          <w:bCs/>
        </w:rPr>
      </w:pPr>
      <w:r w:rsidRPr="00FB4F8F">
        <w:rPr>
          <w:bCs/>
        </w:rPr>
        <w:t>6)</w:t>
      </w:r>
      <w:r>
        <w:rPr>
          <w:bCs/>
        </w:rPr>
        <w:tab/>
      </w:r>
      <w:r w:rsidRPr="00FB4F8F">
        <w:rPr>
          <w:bCs/>
        </w:rPr>
        <w:t>With the density of the product in pounds per cubic foot or kilograms per cubic meter for which the container was designed; and</w:t>
      </w:r>
    </w:p>
    <w:p w:rsidR="001F6071" w:rsidRDefault="001F6071" w:rsidP="001F6071">
      <w:pPr>
        <w:widowControl w:val="0"/>
        <w:ind w:left="2160" w:hanging="720"/>
        <w:rPr>
          <w:bCs/>
        </w:rPr>
      </w:pPr>
    </w:p>
    <w:p w:rsidR="001F6071" w:rsidRPr="00FB4F8F" w:rsidRDefault="001F6071" w:rsidP="001F6071">
      <w:pPr>
        <w:widowControl w:val="0"/>
        <w:ind w:left="2160" w:hanging="720"/>
        <w:rPr>
          <w:bCs/>
        </w:rPr>
      </w:pPr>
      <w:r w:rsidRPr="00FB4F8F">
        <w:rPr>
          <w:bCs/>
        </w:rPr>
        <w:t>7)</w:t>
      </w:r>
      <w:r>
        <w:rPr>
          <w:bCs/>
        </w:rPr>
        <w:tab/>
      </w:r>
      <w:r w:rsidRPr="00FB4F8F">
        <w:rPr>
          <w:bCs/>
        </w:rPr>
        <w:t>With the maximum level to which the container may be filled with liquid anhydrous ammonia.</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q)</w:t>
      </w:r>
      <w:r>
        <w:rPr>
          <w:bCs/>
        </w:rPr>
        <w:tab/>
      </w:r>
      <w:r w:rsidRPr="00FB4F8F">
        <w:rPr>
          <w:bCs/>
        </w:rPr>
        <w:t>Each refrigerated container shall be marked on two directly opposite sides at near eye level with the words ANHYDROUS AMMONIA or CAUTION</w:t>
      </w:r>
      <w:r>
        <w:rPr>
          <w:bCs/>
        </w:rPr>
        <w:t xml:space="preserve"> – </w:t>
      </w:r>
      <w:r w:rsidRPr="00FB4F8F">
        <w:rPr>
          <w:bCs/>
        </w:rPr>
        <w:t>AMMONIA in sharply contrasting colors with letters not less than 4.0 inches high.</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r)</w:t>
      </w:r>
      <w:r>
        <w:rPr>
          <w:bCs/>
        </w:rPr>
        <w:tab/>
      </w:r>
      <w:r w:rsidRPr="00FB4F8F">
        <w:rPr>
          <w:bCs/>
        </w:rPr>
        <w:t xml:space="preserve">Each refrigerated container shall be conspicuously marked with a hazard warning </w:t>
      </w:r>
      <w:r w:rsidRPr="00FB4F8F">
        <w:rPr>
          <w:bCs/>
        </w:rPr>
        <w:lastRenderedPageBreak/>
        <w:t xml:space="preserve">label complying with 29 </w:t>
      </w:r>
      <w:smartTag w:uri="urn:schemas-microsoft-com:office:smarttags" w:element="stockticker">
        <w:r w:rsidRPr="00FB4F8F">
          <w:rPr>
            <w:bCs/>
          </w:rPr>
          <w:t>CFR</w:t>
        </w:r>
      </w:smartTag>
      <w:r w:rsidRPr="00FB4F8F">
        <w:rPr>
          <w:bCs/>
        </w:rPr>
        <w:t xml:space="preserve"> 1910.1200.</w:t>
      </w:r>
    </w:p>
    <w:p w:rsidR="001F6071" w:rsidRDefault="001F6071" w:rsidP="001F6071">
      <w:pPr>
        <w:widowControl w:val="0"/>
        <w:ind w:firstLine="720"/>
        <w:rPr>
          <w:bCs/>
        </w:rPr>
      </w:pPr>
    </w:p>
    <w:p w:rsidR="001F6071" w:rsidRPr="00FB4F8F" w:rsidRDefault="001F6071" w:rsidP="001F6071">
      <w:pPr>
        <w:widowControl w:val="0"/>
        <w:ind w:firstLine="720"/>
        <w:rPr>
          <w:bCs/>
        </w:rPr>
      </w:pPr>
      <w:r w:rsidRPr="00FB4F8F">
        <w:rPr>
          <w:bCs/>
        </w:rPr>
        <w:t>s)</w:t>
      </w:r>
      <w:r>
        <w:rPr>
          <w:bCs/>
        </w:rPr>
        <w:tab/>
      </w:r>
      <w:r w:rsidRPr="00FB4F8F">
        <w:rPr>
          <w:bCs/>
        </w:rPr>
        <w:t>Shutoff valves shall be:</w:t>
      </w:r>
    </w:p>
    <w:p w:rsidR="001F6071" w:rsidRDefault="001F6071" w:rsidP="001F6071">
      <w:pPr>
        <w:widowControl w:val="0"/>
        <w:ind w:left="2160" w:hanging="720"/>
        <w:rPr>
          <w:bCs/>
        </w:rPr>
      </w:pPr>
    </w:p>
    <w:p w:rsidR="001F6071" w:rsidRPr="00FB4F8F" w:rsidRDefault="001F6071" w:rsidP="001F6071">
      <w:pPr>
        <w:widowControl w:val="0"/>
        <w:ind w:left="2160" w:hanging="720"/>
        <w:rPr>
          <w:bCs/>
        </w:rPr>
      </w:pPr>
      <w:r w:rsidRPr="00FB4F8F">
        <w:rPr>
          <w:bCs/>
        </w:rPr>
        <w:t>1)</w:t>
      </w:r>
      <w:r>
        <w:rPr>
          <w:bCs/>
        </w:rPr>
        <w:tab/>
      </w:r>
      <w:r w:rsidRPr="00FB4F8F">
        <w:rPr>
          <w:bCs/>
        </w:rPr>
        <w:t>Provided for all connections except those with a No. 54 (0.055 inches) drill size restriction, plugs, pressure relief valves, and thermometer wells; and</w:t>
      </w:r>
    </w:p>
    <w:p w:rsidR="001F6071" w:rsidRDefault="001F6071" w:rsidP="001F6071">
      <w:pPr>
        <w:widowControl w:val="0"/>
        <w:ind w:left="720" w:firstLine="720"/>
        <w:rPr>
          <w:bCs/>
        </w:rPr>
      </w:pPr>
    </w:p>
    <w:p w:rsidR="001F6071" w:rsidRPr="00FB4F8F" w:rsidRDefault="001F6071" w:rsidP="001F6071">
      <w:pPr>
        <w:widowControl w:val="0"/>
        <w:ind w:left="720" w:firstLine="720"/>
        <w:rPr>
          <w:bCs/>
        </w:rPr>
      </w:pPr>
      <w:r w:rsidRPr="00FB4F8F">
        <w:rPr>
          <w:bCs/>
        </w:rPr>
        <w:t>2)</w:t>
      </w:r>
      <w:r>
        <w:rPr>
          <w:bCs/>
        </w:rPr>
        <w:tab/>
      </w:r>
      <w:r w:rsidRPr="00FB4F8F">
        <w:rPr>
          <w:bCs/>
        </w:rPr>
        <w:t>Located as close to the tank as practical.</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t)</w:t>
      </w:r>
      <w:r>
        <w:rPr>
          <w:bCs/>
        </w:rPr>
        <w:tab/>
      </w:r>
      <w:r w:rsidRPr="00FB4F8F">
        <w:rPr>
          <w:bCs/>
        </w:rPr>
        <w:t>A check valve shall be installed on the tank liquid fill connection if it is located below the maximum liquid level.  A remotely operated shutoff valve shall be installed on other connections located below the maximum liquid level.  See Section 215.65.</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u)</w:t>
      </w:r>
      <w:r>
        <w:rPr>
          <w:bCs/>
        </w:rPr>
        <w:tab/>
      </w:r>
      <w:r w:rsidRPr="00FB4F8F">
        <w:rPr>
          <w:bCs/>
        </w:rPr>
        <w:t>Each refrigerated container shall be equipped with an approved liquid level gauging device and high liquid level alarm.</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v)</w:t>
      </w:r>
      <w:r>
        <w:rPr>
          <w:bCs/>
        </w:rPr>
        <w:tab/>
      </w:r>
      <w:r w:rsidRPr="00FB4F8F">
        <w:rPr>
          <w:bCs/>
        </w:rPr>
        <w:t xml:space="preserve">The tank shall be provided with a system of one or more pressure relief valves </w:t>
      </w:r>
      <w:r>
        <w:rPr>
          <w:bCs/>
        </w:rPr>
        <w:t xml:space="preserve">that </w:t>
      </w:r>
      <w:r w:rsidRPr="00FB4F8F">
        <w:rPr>
          <w:bCs/>
        </w:rPr>
        <w:t>can limit the tank pressure below 115% (110% if only one pressure relief valve is used) of the design pressure during operational emergency conditions other than fire and below 121% of the design pressure during operational emergency conditions that include fire.  One of the pressure relief valves shall be set to start to discharge at a pressure not in excess of the design pressure of the tank, and all other pressure relief valves needed to limit the tank pressure below 115% (110% if only one pressure relief valve is used) of the design pressure during operational emergency conditions other than fire shall be set to discharge at a pressure not in excess of 105% of the design pressure.  All additional pressure relief valves needed to limit the tank pressure below 121% of the design pressure during operational emergency conditions</w:t>
      </w:r>
      <w:r>
        <w:rPr>
          <w:bCs/>
        </w:rPr>
        <w:t>,</w:t>
      </w:r>
      <w:r w:rsidRPr="00FB4F8F">
        <w:rPr>
          <w:bCs/>
        </w:rPr>
        <w:t xml:space="preserve"> including fire</w:t>
      </w:r>
      <w:r>
        <w:rPr>
          <w:bCs/>
        </w:rPr>
        <w:t>,</w:t>
      </w:r>
      <w:r w:rsidRPr="00FB4F8F">
        <w:rPr>
          <w:bCs/>
        </w:rPr>
        <w:t xml:space="preserve"> shall be set to start to discharge at a pressure not in excess of 110% of the design pressure.</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w)</w:t>
      </w:r>
      <w:r>
        <w:rPr>
          <w:bCs/>
        </w:rPr>
        <w:tab/>
      </w:r>
      <w:r w:rsidRPr="00FB4F8F">
        <w:rPr>
          <w:bCs/>
        </w:rPr>
        <w:t xml:space="preserve">The pressure relief valve set to discharge below 105% of the design pressure of the tank shall have a total relieving capacity in excess of the relieving capacity required to handle operating emergency conditions listed in </w:t>
      </w:r>
      <w:r>
        <w:rPr>
          <w:bCs/>
        </w:rPr>
        <w:t xml:space="preserve">subsection </w:t>
      </w:r>
      <w:r w:rsidRPr="00FB4F8F">
        <w:rPr>
          <w:bCs/>
        </w:rPr>
        <w:t xml:space="preserve">(x).  The total relieving capacity of all the pressure relief valves in the system shall be the larger requirement of </w:t>
      </w:r>
      <w:r>
        <w:rPr>
          <w:bCs/>
        </w:rPr>
        <w:t xml:space="preserve">subsection </w:t>
      </w:r>
      <w:r w:rsidRPr="00FB4F8F">
        <w:rPr>
          <w:bCs/>
        </w:rPr>
        <w:t>(x) or (y).</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x)</w:t>
      </w:r>
      <w:r>
        <w:rPr>
          <w:bCs/>
        </w:rPr>
        <w:tab/>
      </w:r>
      <w:r w:rsidRPr="00FB4F8F">
        <w:rPr>
          <w:bCs/>
        </w:rPr>
        <w:t>Possible refrigeration system upsets are cooling water failure; power failure; instrument air or instrument failure; mechanical failure of any equipment; excessive pumping rates; and changing atmospheric conditions.</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y)</w:t>
      </w:r>
      <w:r>
        <w:rPr>
          <w:bCs/>
        </w:rPr>
        <w:tab/>
      </w:r>
      <w:r w:rsidRPr="00FB4F8F">
        <w:rPr>
          <w:bCs/>
        </w:rPr>
        <w:t>Use either of the following formulas for fire exposure.  Relief valve sizing for fire protection may be adjusted to protect against the worst possible fire exposure.</w:t>
      </w:r>
    </w:p>
    <w:p w:rsidR="001F6071" w:rsidRDefault="001F6071" w:rsidP="001F6071">
      <w:pPr>
        <w:widowControl w:val="0"/>
        <w:ind w:left="2160" w:hanging="720"/>
        <w:rPr>
          <w:bCs/>
        </w:rPr>
      </w:pPr>
    </w:p>
    <w:p w:rsidR="001F6071" w:rsidRDefault="001F6071" w:rsidP="001F6071">
      <w:pPr>
        <w:widowControl w:val="0"/>
        <w:ind w:left="2160" w:hanging="720"/>
        <w:rPr>
          <w:bCs/>
        </w:rPr>
      </w:pPr>
      <w:r w:rsidRPr="00FB4F8F">
        <w:rPr>
          <w:bCs/>
        </w:rPr>
        <w:t>1)</w:t>
      </w:r>
      <w:r>
        <w:rPr>
          <w:bCs/>
        </w:rPr>
        <w:tab/>
      </w:r>
      <w:r w:rsidRPr="00FB4F8F">
        <w:rPr>
          <w:bCs/>
        </w:rPr>
        <w:t>For valve manufacturers who classify valves on the basis of the weight of the vapors to be relieved:</w:t>
      </w:r>
    </w:p>
    <w:p w:rsidR="001F6071" w:rsidRPr="00DE04EB" w:rsidRDefault="001F6071" w:rsidP="001F6071">
      <w:pPr>
        <w:widowControl w:val="0"/>
        <w:ind w:left="2160" w:hanging="720"/>
        <w:rPr>
          <w:bCs/>
          <w:color w:val="FFFFFF"/>
        </w:rPr>
      </w:pPr>
      <w:r w:rsidRPr="00DE04EB">
        <w:rPr>
          <w:bCs/>
          <w:color w:val="FFFFFF"/>
        </w:rPr>
        <w:t>■</w:t>
      </w:r>
    </w:p>
    <w:p w:rsidR="001F6071" w:rsidRDefault="001F6071" w:rsidP="001F6071">
      <w:pPr>
        <w:widowControl w:val="0"/>
        <w:ind w:left="2907" w:firstLine="453"/>
        <w:rPr>
          <w:bCs/>
        </w:rPr>
      </w:pPr>
      <w:r w:rsidRPr="00DE04EB">
        <w:rPr>
          <w:bCs/>
          <w:position w:val="-18"/>
        </w:rPr>
        <w:object w:dxaOrig="216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pt" o:ole="">
            <v:imagedata r:id="rId7" o:title=""/>
          </v:shape>
          <o:OLEObject Type="Embed" ProgID="Equation.3" ShapeID="_x0000_i1025" DrawAspect="Content" ObjectID="_1401802493" r:id="rId8"/>
        </w:object>
      </w:r>
    </w:p>
    <w:p w:rsidR="001F6071" w:rsidRPr="00DE04EB" w:rsidRDefault="001F6071" w:rsidP="001F6071">
      <w:pPr>
        <w:widowControl w:val="0"/>
        <w:ind w:left="2160" w:hanging="720"/>
        <w:rPr>
          <w:bCs/>
          <w:color w:val="FFFFFF"/>
        </w:rPr>
      </w:pPr>
      <w:r w:rsidRPr="00DE04EB">
        <w:rPr>
          <w:bCs/>
          <w:color w:val="FFFFFF"/>
        </w:rPr>
        <w:t>■</w:t>
      </w:r>
    </w:p>
    <w:p w:rsidR="001F6071" w:rsidRDefault="001F6071" w:rsidP="001F6071">
      <w:pPr>
        <w:widowControl w:val="0"/>
        <w:ind w:left="2160" w:hanging="720"/>
        <w:rPr>
          <w:bCs/>
        </w:rPr>
      </w:pPr>
      <w:r w:rsidRPr="00FB4F8F">
        <w:rPr>
          <w:bCs/>
        </w:rPr>
        <w:t>2)</w:t>
      </w:r>
      <w:r>
        <w:rPr>
          <w:bCs/>
        </w:rPr>
        <w:tab/>
      </w:r>
      <w:r w:rsidRPr="00FB4F8F">
        <w:rPr>
          <w:bCs/>
        </w:rPr>
        <w:t>For valve manufacturers who classify valves on the basis of air flow:</w:t>
      </w:r>
    </w:p>
    <w:p w:rsidR="001F6071" w:rsidRDefault="001F6071" w:rsidP="001F6071">
      <w:pPr>
        <w:widowControl w:val="0"/>
        <w:ind w:left="2160" w:hanging="720"/>
        <w:rPr>
          <w:bCs/>
        </w:rPr>
      </w:pPr>
    </w:p>
    <w:p w:rsidR="001F6071" w:rsidRPr="00FB4F8F" w:rsidRDefault="001F6071" w:rsidP="001F6071">
      <w:pPr>
        <w:widowControl w:val="0"/>
        <w:ind w:left="3360" w:firstLine="6"/>
        <w:rPr>
          <w:bCs/>
        </w:rPr>
      </w:pPr>
      <w:r w:rsidRPr="00DE04EB">
        <w:rPr>
          <w:bCs/>
          <w:position w:val="-20"/>
        </w:rPr>
        <w:object w:dxaOrig="3360" w:dyaOrig="620">
          <v:shape id="_x0000_i1026" type="#_x0000_t75" style="width:168pt;height:30.75pt" o:ole="">
            <v:imagedata r:id="rId9" o:title=""/>
          </v:shape>
          <o:OLEObject Type="Embed" ProgID="Equation.3" ShapeID="_x0000_i1026" DrawAspect="Content" ObjectID="_1401802494" r:id="rId10"/>
        </w:object>
      </w:r>
    </w:p>
    <w:p w:rsidR="001F6071" w:rsidRDefault="001F6071" w:rsidP="001F6071">
      <w:pPr>
        <w:widowControl w:val="0"/>
        <w:rPr>
          <w:bCs/>
        </w:rPr>
      </w:pPr>
    </w:p>
    <w:p w:rsidR="001F6071" w:rsidRDefault="001F6071" w:rsidP="001F6071">
      <w:pPr>
        <w:widowControl w:val="0"/>
        <w:ind w:left="1425"/>
        <w:rPr>
          <w:bCs/>
        </w:rPr>
      </w:pPr>
      <w:r>
        <w:rPr>
          <w:bCs/>
        </w:rPr>
        <w:t>3)</w:t>
      </w:r>
      <w:r>
        <w:rPr>
          <w:bCs/>
        </w:rPr>
        <w:tab/>
        <w:t>Where:</w:t>
      </w:r>
    </w:p>
    <w:p w:rsidR="001C71C2" w:rsidRDefault="001C71C2" w:rsidP="00573770"/>
    <w:tbl>
      <w:tblPr>
        <w:tblW w:w="7128" w:type="dxa"/>
        <w:tblInd w:w="2493" w:type="dxa"/>
        <w:tblLook w:val="0000" w:firstRow="0" w:lastRow="0" w:firstColumn="0" w:lastColumn="0" w:noHBand="0" w:noVBand="0"/>
      </w:tblPr>
      <w:tblGrid>
        <w:gridCol w:w="603"/>
        <w:gridCol w:w="360"/>
        <w:gridCol w:w="6165"/>
      </w:tblGrid>
      <w:tr w:rsidR="001F6071" w:rsidTr="001F6071">
        <w:tblPrEx>
          <w:tblCellMar>
            <w:top w:w="0" w:type="dxa"/>
            <w:bottom w:w="0" w:type="dxa"/>
          </w:tblCellMar>
        </w:tblPrEx>
        <w:tc>
          <w:tcPr>
            <w:tcW w:w="603" w:type="dxa"/>
          </w:tcPr>
          <w:p w:rsidR="001F6071" w:rsidRDefault="001F6071" w:rsidP="0046042E">
            <w:pPr>
              <w:widowControl w:val="0"/>
              <w:rPr>
                <w:bCs/>
              </w:rPr>
            </w:pPr>
            <w:r>
              <w:rPr>
                <w:bCs/>
              </w:rPr>
              <w:t>W</w:t>
            </w:r>
          </w:p>
        </w:tc>
        <w:tc>
          <w:tcPr>
            <w:tcW w:w="360" w:type="dxa"/>
          </w:tcPr>
          <w:p w:rsidR="001F6071" w:rsidRDefault="001F6071" w:rsidP="0046042E">
            <w:pPr>
              <w:widowControl w:val="0"/>
              <w:rPr>
                <w:bCs/>
              </w:rPr>
            </w:pPr>
            <w:r>
              <w:rPr>
                <w:bCs/>
              </w:rPr>
              <w:t>=</w:t>
            </w:r>
          </w:p>
        </w:tc>
        <w:tc>
          <w:tcPr>
            <w:tcW w:w="6165" w:type="dxa"/>
          </w:tcPr>
          <w:p w:rsidR="001F6071" w:rsidRDefault="001F6071" w:rsidP="0046042E">
            <w:pPr>
              <w:widowControl w:val="0"/>
              <w:rPr>
                <w:bCs/>
              </w:rPr>
            </w:pPr>
            <w:r w:rsidRPr="00FB4F8F">
              <w:rPr>
                <w:bCs/>
              </w:rPr>
              <w:t>weight of vapors to be relieved in pounds/hour at relieving conditions</w:t>
            </w:r>
          </w:p>
        </w:tc>
      </w:tr>
      <w:tr w:rsidR="001F6071" w:rsidTr="001F6071">
        <w:tblPrEx>
          <w:tblCellMar>
            <w:top w:w="0" w:type="dxa"/>
            <w:bottom w:w="0" w:type="dxa"/>
          </w:tblCellMar>
        </w:tblPrEx>
        <w:trPr>
          <w:trHeight w:hRule="exact" w:val="72"/>
        </w:trPr>
        <w:tc>
          <w:tcPr>
            <w:tcW w:w="603" w:type="dxa"/>
          </w:tcPr>
          <w:p w:rsidR="001F6071" w:rsidRDefault="001F6071" w:rsidP="0046042E">
            <w:pPr>
              <w:widowControl w:val="0"/>
              <w:rPr>
                <w:bCs/>
              </w:rPr>
            </w:pPr>
          </w:p>
        </w:tc>
        <w:tc>
          <w:tcPr>
            <w:tcW w:w="360" w:type="dxa"/>
          </w:tcPr>
          <w:p w:rsidR="001F6071" w:rsidRDefault="001F6071" w:rsidP="0046042E">
            <w:pPr>
              <w:widowControl w:val="0"/>
              <w:rPr>
                <w:bCs/>
              </w:rPr>
            </w:pPr>
          </w:p>
        </w:tc>
        <w:tc>
          <w:tcPr>
            <w:tcW w:w="6165" w:type="dxa"/>
          </w:tcPr>
          <w:p w:rsidR="001F6071" w:rsidRDefault="001F6071" w:rsidP="0046042E">
            <w:pPr>
              <w:widowControl w:val="0"/>
              <w:rPr>
                <w:bCs/>
              </w:rPr>
            </w:pPr>
          </w:p>
        </w:tc>
      </w:tr>
      <w:tr w:rsidR="001F6071" w:rsidTr="001F6071">
        <w:tblPrEx>
          <w:tblCellMar>
            <w:top w:w="0" w:type="dxa"/>
            <w:bottom w:w="0" w:type="dxa"/>
          </w:tblCellMar>
        </w:tblPrEx>
        <w:tc>
          <w:tcPr>
            <w:tcW w:w="603" w:type="dxa"/>
          </w:tcPr>
          <w:p w:rsidR="001F6071" w:rsidRDefault="001F6071" w:rsidP="0046042E">
            <w:pPr>
              <w:widowControl w:val="0"/>
              <w:rPr>
                <w:bCs/>
              </w:rPr>
            </w:pPr>
            <w:r>
              <w:rPr>
                <w:bCs/>
              </w:rPr>
              <w:t>Qa</w:t>
            </w:r>
          </w:p>
        </w:tc>
        <w:tc>
          <w:tcPr>
            <w:tcW w:w="360" w:type="dxa"/>
          </w:tcPr>
          <w:p w:rsidR="001F6071" w:rsidRDefault="001F6071" w:rsidP="0046042E">
            <w:pPr>
              <w:widowControl w:val="0"/>
              <w:rPr>
                <w:bCs/>
              </w:rPr>
            </w:pPr>
            <w:r>
              <w:rPr>
                <w:bCs/>
              </w:rPr>
              <w:t>=</w:t>
            </w:r>
          </w:p>
        </w:tc>
        <w:tc>
          <w:tcPr>
            <w:tcW w:w="6165" w:type="dxa"/>
          </w:tcPr>
          <w:p w:rsidR="001F6071" w:rsidRDefault="001F6071" w:rsidP="0046042E">
            <w:pPr>
              <w:widowControl w:val="0"/>
              <w:rPr>
                <w:bCs/>
              </w:rPr>
            </w:pPr>
            <w:r w:rsidRPr="00FB4F8F">
              <w:rPr>
                <w:bCs/>
              </w:rPr>
              <w:t>air flow in cubic feet per minute at standard conditions 60</w:t>
            </w:r>
            <w:r>
              <w:rPr>
                <w:bCs/>
              </w:rPr>
              <w:t>°</w:t>
            </w:r>
            <w:r w:rsidRPr="00FB4F8F">
              <w:rPr>
                <w:bCs/>
              </w:rPr>
              <w:t>F and 14.7 psi</w:t>
            </w:r>
          </w:p>
        </w:tc>
      </w:tr>
      <w:tr w:rsidR="001F6071" w:rsidTr="001F6071">
        <w:tblPrEx>
          <w:tblCellMar>
            <w:top w:w="0" w:type="dxa"/>
            <w:bottom w:w="0" w:type="dxa"/>
          </w:tblCellMar>
        </w:tblPrEx>
        <w:trPr>
          <w:trHeight w:hRule="exact" w:val="72"/>
        </w:trPr>
        <w:tc>
          <w:tcPr>
            <w:tcW w:w="603" w:type="dxa"/>
          </w:tcPr>
          <w:p w:rsidR="001F6071" w:rsidRDefault="001F6071" w:rsidP="0046042E">
            <w:pPr>
              <w:widowControl w:val="0"/>
              <w:rPr>
                <w:bCs/>
              </w:rPr>
            </w:pPr>
          </w:p>
        </w:tc>
        <w:tc>
          <w:tcPr>
            <w:tcW w:w="360" w:type="dxa"/>
          </w:tcPr>
          <w:p w:rsidR="001F6071" w:rsidRDefault="001F6071" w:rsidP="0046042E">
            <w:pPr>
              <w:widowControl w:val="0"/>
              <w:rPr>
                <w:bCs/>
              </w:rPr>
            </w:pPr>
          </w:p>
        </w:tc>
        <w:tc>
          <w:tcPr>
            <w:tcW w:w="6165" w:type="dxa"/>
          </w:tcPr>
          <w:p w:rsidR="001F6071" w:rsidRDefault="001F6071" w:rsidP="0046042E">
            <w:pPr>
              <w:widowControl w:val="0"/>
              <w:rPr>
                <w:bCs/>
              </w:rPr>
            </w:pPr>
          </w:p>
        </w:tc>
      </w:tr>
      <w:tr w:rsidR="001F6071" w:rsidTr="001F6071">
        <w:tblPrEx>
          <w:tblCellMar>
            <w:top w:w="0" w:type="dxa"/>
            <w:bottom w:w="0" w:type="dxa"/>
          </w:tblCellMar>
        </w:tblPrEx>
        <w:tc>
          <w:tcPr>
            <w:tcW w:w="603" w:type="dxa"/>
          </w:tcPr>
          <w:p w:rsidR="001F6071" w:rsidRDefault="001F6071" w:rsidP="0046042E">
            <w:pPr>
              <w:widowControl w:val="0"/>
              <w:rPr>
                <w:bCs/>
              </w:rPr>
            </w:pPr>
            <w:r>
              <w:rPr>
                <w:bCs/>
              </w:rPr>
              <w:t>F</w:t>
            </w:r>
          </w:p>
        </w:tc>
        <w:tc>
          <w:tcPr>
            <w:tcW w:w="360" w:type="dxa"/>
          </w:tcPr>
          <w:p w:rsidR="001F6071" w:rsidRDefault="001F6071" w:rsidP="0046042E">
            <w:pPr>
              <w:widowControl w:val="0"/>
              <w:rPr>
                <w:bCs/>
              </w:rPr>
            </w:pPr>
            <w:r>
              <w:rPr>
                <w:bCs/>
              </w:rPr>
              <w:t>=</w:t>
            </w:r>
          </w:p>
        </w:tc>
        <w:tc>
          <w:tcPr>
            <w:tcW w:w="6165" w:type="dxa"/>
          </w:tcPr>
          <w:p w:rsidR="001F6071" w:rsidRDefault="001F6071" w:rsidP="0046042E">
            <w:pPr>
              <w:widowControl w:val="0"/>
              <w:rPr>
                <w:bCs/>
              </w:rPr>
            </w:pPr>
            <w:r w:rsidRPr="00FB4F8F">
              <w:rPr>
                <w:bCs/>
              </w:rPr>
              <w:t>fireproofing credit. Use F = 1.0 except when an approved fireproofing material of recommended thickness is used</w:t>
            </w:r>
            <w:r>
              <w:rPr>
                <w:bCs/>
              </w:rPr>
              <w:t>,</w:t>
            </w:r>
            <w:r w:rsidRPr="00FB4F8F">
              <w:rPr>
                <w:bCs/>
              </w:rPr>
              <w:t xml:space="preserve"> in which case use F = 0.2</w:t>
            </w:r>
          </w:p>
        </w:tc>
      </w:tr>
      <w:tr w:rsidR="001F6071" w:rsidTr="001F6071">
        <w:tblPrEx>
          <w:tblCellMar>
            <w:top w:w="0" w:type="dxa"/>
            <w:bottom w:w="0" w:type="dxa"/>
          </w:tblCellMar>
        </w:tblPrEx>
        <w:trPr>
          <w:trHeight w:hRule="exact" w:val="72"/>
        </w:trPr>
        <w:tc>
          <w:tcPr>
            <w:tcW w:w="603" w:type="dxa"/>
          </w:tcPr>
          <w:p w:rsidR="001F6071" w:rsidRDefault="001F6071" w:rsidP="0046042E">
            <w:pPr>
              <w:widowControl w:val="0"/>
              <w:rPr>
                <w:bCs/>
              </w:rPr>
            </w:pPr>
          </w:p>
        </w:tc>
        <w:tc>
          <w:tcPr>
            <w:tcW w:w="360" w:type="dxa"/>
          </w:tcPr>
          <w:p w:rsidR="001F6071" w:rsidRDefault="001F6071" w:rsidP="0046042E">
            <w:pPr>
              <w:widowControl w:val="0"/>
              <w:rPr>
                <w:bCs/>
              </w:rPr>
            </w:pPr>
          </w:p>
        </w:tc>
        <w:tc>
          <w:tcPr>
            <w:tcW w:w="6165" w:type="dxa"/>
          </w:tcPr>
          <w:p w:rsidR="001F6071" w:rsidRDefault="001F6071" w:rsidP="0046042E">
            <w:pPr>
              <w:widowControl w:val="0"/>
              <w:rPr>
                <w:bCs/>
              </w:rPr>
            </w:pPr>
          </w:p>
        </w:tc>
      </w:tr>
      <w:tr w:rsidR="001F6071" w:rsidTr="001F6071">
        <w:tblPrEx>
          <w:tblCellMar>
            <w:top w:w="0" w:type="dxa"/>
            <w:bottom w:w="0" w:type="dxa"/>
          </w:tblCellMar>
        </w:tblPrEx>
        <w:tc>
          <w:tcPr>
            <w:tcW w:w="603" w:type="dxa"/>
          </w:tcPr>
          <w:p w:rsidR="001F6071" w:rsidRDefault="001F6071" w:rsidP="0046042E">
            <w:pPr>
              <w:widowControl w:val="0"/>
              <w:rPr>
                <w:bCs/>
              </w:rPr>
            </w:pPr>
            <w:r>
              <w:rPr>
                <w:bCs/>
              </w:rPr>
              <w:t>A</w:t>
            </w:r>
          </w:p>
        </w:tc>
        <w:tc>
          <w:tcPr>
            <w:tcW w:w="360" w:type="dxa"/>
          </w:tcPr>
          <w:p w:rsidR="001F6071" w:rsidRDefault="001F6071" w:rsidP="0046042E">
            <w:pPr>
              <w:widowControl w:val="0"/>
              <w:rPr>
                <w:bCs/>
              </w:rPr>
            </w:pPr>
            <w:r>
              <w:rPr>
                <w:bCs/>
              </w:rPr>
              <w:t>=</w:t>
            </w:r>
          </w:p>
        </w:tc>
        <w:tc>
          <w:tcPr>
            <w:tcW w:w="6165" w:type="dxa"/>
          </w:tcPr>
          <w:p w:rsidR="001F6071" w:rsidRDefault="001F6071" w:rsidP="0046042E">
            <w:pPr>
              <w:widowControl w:val="0"/>
              <w:rPr>
                <w:bCs/>
              </w:rPr>
            </w:pPr>
            <w:r w:rsidRPr="00FB4F8F">
              <w:rPr>
                <w:bCs/>
              </w:rPr>
              <w:t>total surface area in square feet up to 25 feet above grade or to the equator of a sphere, whichever is greater</w:t>
            </w:r>
          </w:p>
        </w:tc>
      </w:tr>
      <w:tr w:rsidR="001F6071" w:rsidTr="001F6071">
        <w:tblPrEx>
          <w:tblCellMar>
            <w:top w:w="0" w:type="dxa"/>
            <w:bottom w:w="0" w:type="dxa"/>
          </w:tblCellMar>
        </w:tblPrEx>
        <w:trPr>
          <w:trHeight w:hRule="exact" w:val="72"/>
        </w:trPr>
        <w:tc>
          <w:tcPr>
            <w:tcW w:w="603" w:type="dxa"/>
          </w:tcPr>
          <w:p w:rsidR="001F6071" w:rsidRDefault="001F6071" w:rsidP="0046042E">
            <w:pPr>
              <w:widowControl w:val="0"/>
              <w:rPr>
                <w:bCs/>
              </w:rPr>
            </w:pPr>
          </w:p>
        </w:tc>
        <w:tc>
          <w:tcPr>
            <w:tcW w:w="360" w:type="dxa"/>
          </w:tcPr>
          <w:p w:rsidR="001F6071" w:rsidRDefault="001F6071" w:rsidP="0046042E">
            <w:pPr>
              <w:widowControl w:val="0"/>
              <w:rPr>
                <w:bCs/>
              </w:rPr>
            </w:pPr>
          </w:p>
        </w:tc>
        <w:tc>
          <w:tcPr>
            <w:tcW w:w="6165" w:type="dxa"/>
          </w:tcPr>
          <w:p w:rsidR="001F6071" w:rsidRDefault="001F6071" w:rsidP="0046042E">
            <w:pPr>
              <w:widowControl w:val="0"/>
              <w:rPr>
                <w:bCs/>
              </w:rPr>
            </w:pPr>
          </w:p>
        </w:tc>
      </w:tr>
      <w:tr w:rsidR="001F6071" w:rsidTr="001F6071">
        <w:tblPrEx>
          <w:tblCellMar>
            <w:top w:w="0" w:type="dxa"/>
            <w:bottom w:w="0" w:type="dxa"/>
          </w:tblCellMar>
        </w:tblPrEx>
        <w:tc>
          <w:tcPr>
            <w:tcW w:w="603" w:type="dxa"/>
          </w:tcPr>
          <w:p w:rsidR="001F6071" w:rsidRDefault="001F6071" w:rsidP="0046042E">
            <w:pPr>
              <w:widowControl w:val="0"/>
              <w:rPr>
                <w:bCs/>
              </w:rPr>
            </w:pPr>
            <w:r>
              <w:rPr>
                <w:bCs/>
              </w:rPr>
              <w:t>Z</w:t>
            </w:r>
          </w:p>
        </w:tc>
        <w:tc>
          <w:tcPr>
            <w:tcW w:w="360" w:type="dxa"/>
          </w:tcPr>
          <w:p w:rsidR="001F6071" w:rsidRDefault="001F6071" w:rsidP="0046042E">
            <w:pPr>
              <w:widowControl w:val="0"/>
              <w:rPr>
                <w:bCs/>
              </w:rPr>
            </w:pPr>
            <w:r>
              <w:rPr>
                <w:bCs/>
              </w:rPr>
              <w:t>=</w:t>
            </w:r>
          </w:p>
        </w:tc>
        <w:tc>
          <w:tcPr>
            <w:tcW w:w="6165" w:type="dxa"/>
          </w:tcPr>
          <w:p w:rsidR="001F6071" w:rsidRDefault="001F6071" w:rsidP="0046042E">
            <w:pPr>
              <w:widowControl w:val="0"/>
              <w:rPr>
                <w:bCs/>
              </w:rPr>
            </w:pPr>
            <w:r w:rsidRPr="00FB4F8F">
              <w:rPr>
                <w:bCs/>
              </w:rPr>
              <w:t>compressibility factor of ammonia at relieving condition (if not known, use Z = 1.0)</w:t>
            </w:r>
          </w:p>
        </w:tc>
      </w:tr>
      <w:tr w:rsidR="001F6071" w:rsidTr="001F6071">
        <w:tblPrEx>
          <w:tblCellMar>
            <w:top w:w="0" w:type="dxa"/>
            <w:bottom w:w="0" w:type="dxa"/>
          </w:tblCellMar>
        </w:tblPrEx>
        <w:trPr>
          <w:trHeight w:hRule="exact" w:val="72"/>
        </w:trPr>
        <w:tc>
          <w:tcPr>
            <w:tcW w:w="603" w:type="dxa"/>
          </w:tcPr>
          <w:p w:rsidR="001F6071" w:rsidRDefault="001F6071" w:rsidP="0046042E">
            <w:pPr>
              <w:widowControl w:val="0"/>
              <w:rPr>
                <w:bCs/>
              </w:rPr>
            </w:pPr>
          </w:p>
        </w:tc>
        <w:tc>
          <w:tcPr>
            <w:tcW w:w="360" w:type="dxa"/>
          </w:tcPr>
          <w:p w:rsidR="001F6071" w:rsidRDefault="001F6071" w:rsidP="0046042E">
            <w:pPr>
              <w:widowControl w:val="0"/>
              <w:rPr>
                <w:bCs/>
              </w:rPr>
            </w:pPr>
          </w:p>
        </w:tc>
        <w:tc>
          <w:tcPr>
            <w:tcW w:w="6165" w:type="dxa"/>
          </w:tcPr>
          <w:p w:rsidR="001F6071" w:rsidRDefault="001F6071" w:rsidP="0046042E">
            <w:pPr>
              <w:widowControl w:val="0"/>
              <w:rPr>
                <w:bCs/>
              </w:rPr>
            </w:pPr>
          </w:p>
        </w:tc>
      </w:tr>
      <w:tr w:rsidR="001F6071" w:rsidTr="001F6071">
        <w:tblPrEx>
          <w:tblCellMar>
            <w:top w:w="0" w:type="dxa"/>
            <w:bottom w:w="0" w:type="dxa"/>
          </w:tblCellMar>
        </w:tblPrEx>
        <w:tc>
          <w:tcPr>
            <w:tcW w:w="603" w:type="dxa"/>
          </w:tcPr>
          <w:p w:rsidR="001F6071" w:rsidRDefault="001F6071" w:rsidP="0046042E">
            <w:pPr>
              <w:widowControl w:val="0"/>
              <w:rPr>
                <w:bCs/>
              </w:rPr>
            </w:pPr>
            <w:r>
              <w:rPr>
                <w:bCs/>
              </w:rPr>
              <w:t>T</w:t>
            </w:r>
          </w:p>
        </w:tc>
        <w:tc>
          <w:tcPr>
            <w:tcW w:w="360" w:type="dxa"/>
          </w:tcPr>
          <w:p w:rsidR="001F6071" w:rsidRDefault="001F6071" w:rsidP="0046042E">
            <w:pPr>
              <w:widowControl w:val="0"/>
              <w:rPr>
                <w:bCs/>
              </w:rPr>
            </w:pPr>
            <w:r>
              <w:rPr>
                <w:bCs/>
              </w:rPr>
              <w:t>=</w:t>
            </w:r>
          </w:p>
        </w:tc>
        <w:tc>
          <w:tcPr>
            <w:tcW w:w="6165" w:type="dxa"/>
          </w:tcPr>
          <w:p w:rsidR="001F6071" w:rsidRDefault="001F6071" w:rsidP="0046042E">
            <w:pPr>
              <w:widowControl w:val="0"/>
              <w:rPr>
                <w:bCs/>
              </w:rPr>
            </w:pPr>
            <w:r w:rsidRPr="00FB4F8F">
              <w:rPr>
                <w:bCs/>
              </w:rPr>
              <w:t xml:space="preserve">temperature in degrees R (460 + temperature in </w:t>
            </w:r>
            <w:r>
              <w:rPr>
                <w:bCs/>
              </w:rPr>
              <w:t>°</w:t>
            </w:r>
            <w:r w:rsidRPr="00FB4F8F">
              <w:rPr>
                <w:bCs/>
              </w:rPr>
              <w:t>F of gas at relieving conditions)</w:t>
            </w:r>
          </w:p>
        </w:tc>
      </w:tr>
      <w:tr w:rsidR="001F6071" w:rsidTr="001F6071">
        <w:tblPrEx>
          <w:tblCellMar>
            <w:top w:w="0" w:type="dxa"/>
            <w:bottom w:w="0" w:type="dxa"/>
          </w:tblCellMar>
        </w:tblPrEx>
        <w:trPr>
          <w:trHeight w:hRule="exact" w:val="72"/>
        </w:trPr>
        <w:tc>
          <w:tcPr>
            <w:tcW w:w="603" w:type="dxa"/>
          </w:tcPr>
          <w:p w:rsidR="001F6071" w:rsidRDefault="001F6071" w:rsidP="0046042E">
            <w:pPr>
              <w:widowControl w:val="0"/>
              <w:rPr>
                <w:bCs/>
              </w:rPr>
            </w:pPr>
          </w:p>
        </w:tc>
        <w:tc>
          <w:tcPr>
            <w:tcW w:w="360" w:type="dxa"/>
          </w:tcPr>
          <w:p w:rsidR="001F6071" w:rsidRDefault="001F6071" w:rsidP="0046042E">
            <w:pPr>
              <w:widowControl w:val="0"/>
              <w:rPr>
                <w:bCs/>
              </w:rPr>
            </w:pPr>
          </w:p>
        </w:tc>
        <w:tc>
          <w:tcPr>
            <w:tcW w:w="6165" w:type="dxa"/>
          </w:tcPr>
          <w:p w:rsidR="001F6071" w:rsidRDefault="001F6071" w:rsidP="0046042E">
            <w:pPr>
              <w:widowControl w:val="0"/>
              <w:rPr>
                <w:bCs/>
              </w:rPr>
            </w:pPr>
          </w:p>
        </w:tc>
      </w:tr>
      <w:tr w:rsidR="001F6071" w:rsidTr="001F6071">
        <w:tblPrEx>
          <w:tblCellMar>
            <w:top w:w="0" w:type="dxa"/>
            <w:bottom w:w="0" w:type="dxa"/>
          </w:tblCellMar>
        </w:tblPrEx>
        <w:tc>
          <w:tcPr>
            <w:tcW w:w="603" w:type="dxa"/>
          </w:tcPr>
          <w:p w:rsidR="001F6071" w:rsidRDefault="001F6071" w:rsidP="0046042E">
            <w:pPr>
              <w:widowControl w:val="0"/>
              <w:rPr>
                <w:bCs/>
              </w:rPr>
            </w:pPr>
            <w:r>
              <w:rPr>
                <w:bCs/>
              </w:rPr>
              <w:t>M</w:t>
            </w:r>
          </w:p>
        </w:tc>
        <w:tc>
          <w:tcPr>
            <w:tcW w:w="360" w:type="dxa"/>
          </w:tcPr>
          <w:p w:rsidR="001F6071" w:rsidRDefault="001F6071" w:rsidP="0046042E">
            <w:pPr>
              <w:widowControl w:val="0"/>
              <w:rPr>
                <w:bCs/>
              </w:rPr>
            </w:pPr>
            <w:r>
              <w:rPr>
                <w:bCs/>
              </w:rPr>
              <w:t>=</w:t>
            </w:r>
          </w:p>
        </w:tc>
        <w:tc>
          <w:tcPr>
            <w:tcW w:w="6165" w:type="dxa"/>
          </w:tcPr>
          <w:p w:rsidR="001F6071" w:rsidRDefault="001F6071" w:rsidP="0046042E">
            <w:pPr>
              <w:widowControl w:val="0"/>
              <w:rPr>
                <w:bCs/>
              </w:rPr>
            </w:pPr>
            <w:r w:rsidRPr="00FB4F8F">
              <w:rPr>
                <w:bCs/>
              </w:rPr>
              <w:t>molecular weight = 17 for ammonia</w:t>
            </w:r>
          </w:p>
        </w:tc>
      </w:tr>
      <w:tr w:rsidR="001F6071" w:rsidTr="001F6071">
        <w:tblPrEx>
          <w:tblCellMar>
            <w:top w:w="0" w:type="dxa"/>
            <w:bottom w:w="0" w:type="dxa"/>
          </w:tblCellMar>
        </w:tblPrEx>
        <w:trPr>
          <w:trHeight w:hRule="exact" w:val="72"/>
        </w:trPr>
        <w:tc>
          <w:tcPr>
            <w:tcW w:w="603" w:type="dxa"/>
          </w:tcPr>
          <w:p w:rsidR="001F6071" w:rsidRDefault="001F6071" w:rsidP="0046042E">
            <w:pPr>
              <w:widowControl w:val="0"/>
              <w:rPr>
                <w:bCs/>
              </w:rPr>
            </w:pPr>
          </w:p>
        </w:tc>
        <w:tc>
          <w:tcPr>
            <w:tcW w:w="360" w:type="dxa"/>
          </w:tcPr>
          <w:p w:rsidR="001F6071" w:rsidRDefault="001F6071" w:rsidP="0046042E">
            <w:pPr>
              <w:widowControl w:val="0"/>
              <w:rPr>
                <w:bCs/>
              </w:rPr>
            </w:pPr>
          </w:p>
        </w:tc>
        <w:tc>
          <w:tcPr>
            <w:tcW w:w="6165" w:type="dxa"/>
          </w:tcPr>
          <w:p w:rsidR="001F6071" w:rsidRDefault="001F6071" w:rsidP="0046042E">
            <w:pPr>
              <w:widowControl w:val="0"/>
              <w:rPr>
                <w:bCs/>
              </w:rPr>
            </w:pPr>
          </w:p>
        </w:tc>
      </w:tr>
      <w:tr w:rsidR="001F6071" w:rsidTr="001F6071">
        <w:tblPrEx>
          <w:tblCellMar>
            <w:top w:w="0" w:type="dxa"/>
            <w:bottom w:w="0" w:type="dxa"/>
          </w:tblCellMar>
        </w:tblPrEx>
        <w:tc>
          <w:tcPr>
            <w:tcW w:w="603" w:type="dxa"/>
          </w:tcPr>
          <w:p w:rsidR="001F6071" w:rsidRDefault="001F6071" w:rsidP="0046042E">
            <w:pPr>
              <w:widowControl w:val="0"/>
              <w:rPr>
                <w:bCs/>
              </w:rPr>
            </w:pPr>
            <w:r>
              <w:rPr>
                <w:bCs/>
              </w:rPr>
              <w:t>L</w:t>
            </w:r>
          </w:p>
        </w:tc>
        <w:tc>
          <w:tcPr>
            <w:tcW w:w="360" w:type="dxa"/>
          </w:tcPr>
          <w:p w:rsidR="001F6071" w:rsidRDefault="001F6071" w:rsidP="0046042E">
            <w:pPr>
              <w:widowControl w:val="0"/>
              <w:rPr>
                <w:bCs/>
              </w:rPr>
            </w:pPr>
            <w:r>
              <w:rPr>
                <w:bCs/>
              </w:rPr>
              <w:t>=</w:t>
            </w:r>
          </w:p>
        </w:tc>
        <w:tc>
          <w:tcPr>
            <w:tcW w:w="6165" w:type="dxa"/>
          </w:tcPr>
          <w:p w:rsidR="001F6071" w:rsidRDefault="001F6071" w:rsidP="0046042E">
            <w:pPr>
              <w:widowControl w:val="0"/>
              <w:rPr>
                <w:bCs/>
              </w:rPr>
            </w:pPr>
            <w:r>
              <w:rPr>
                <w:bCs/>
              </w:rPr>
              <w:t>l</w:t>
            </w:r>
            <w:r w:rsidRPr="00FB4F8F">
              <w:rPr>
                <w:bCs/>
              </w:rPr>
              <w:t>atent heat of ammonia at relieving conditions in Btu per pound</w:t>
            </w:r>
          </w:p>
        </w:tc>
      </w:tr>
      <w:tr w:rsidR="001F6071" w:rsidTr="001F6071">
        <w:tblPrEx>
          <w:tblCellMar>
            <w:top w:w="0" w:type="dxa"/>
            <w:bottom w:w="0" w:type="dxa"/>
          </w:tblCellMar>
        </w:tblPrEx>
        <w:trPr>
          <w:trHeight w:hRule="exact" w:val="72"/>
        </w:trPr>
        <w:tc>
          <w:tcPr>
            <w:tcW w:w="603" w:type="dxa"/>
          </w:tcPr>
          <w:p w:rsidR="001F6071" w:rsidRDefault="001F6071" w:rsidP="0046042E">
            <w:pPr>
              <w:widowControl w:val="0"/>
              <w:rPr>
                <w:bCs/>
              </w:rPr>
            </w:pPr>
          </w:p>
        </w:tc>
        <w:tc>
          <w:tcPr>
            <w:tcW w:w="360" w:type="dxa"/>
          </w:tcPr>
          <w:p w:rsidR="001F6071" w:rsidRDefault="001F6071" w:rsidP="0046042E">
            <w:pPr>
              <w:widowControl w:val="0"/>
              <w:rPr>
                <w:bCs/>
              </w:rPr>
            </w:pPr>
          </w:p>
        </w:tc>
        <w:tc>
          <w:tcPr>
            <w:tcW w:w="6165" w:type="dxa"/>
          </w:tcPr>
          <w:p w:rsidR="001F6071" w:rsidRDefault="001F6071" w:rsidP="0046042E">
            <w:pPr>
              <w:widowControl w:val="0"/>
              <w:rPr>
                <w:bCs/>
              </w:rPr>
            </w:pPr>
          </w:p>
        </w:tc>
      </w:tr>
      <w:tr w:rsidR="001F6071" w:rsidTr="001F6071">
        <w:tblPrEx>
          <w:tblCellMar>
            <w:top w:w="0" w:type="dxa"/>
            <w:bottom w:w="0" w:type="dxa"/>
          </w:tblCellMar>
        </w:tblPrEx>
        <w:tc>
          <w:tcPr>
            <w:tcW w:w="603" w:type="dxa"/>
          </w:tcPr>
          <w:p w:rsidR="001F6071" w:rsidRDefault="001F6071" w:rsidP="0046042E">
            <w:pPr>
              <w:widowControl w:val="0"/>
              <w:rPr>
                <w:bCs/>
              </w:rPr>
            </w:pPr>
            <w:r>
              <w:rPr>
                <w:bCs/>
              </w:rPr>
              <w:t>C</w:t>
            </w:r>
          </w:p>
        </w:tc>
        <w:tc>
          <w:tcPr>
            <w:tcW w:w="360" w:type="dxa"/>
          </w:tcPr>
          <w:p w:rsidR="001F6071" w:rsidRDefault="001F6071" w:rsidP="0046042E">
            <w:pPr>
              <w:widowControl w:val="0"/>
              <w:rPr>
                <w:bCs/>
              </w:rPr>
            </w:pPr>
            <w:r>
              <w:rPr>
                <w:bCs/>
              </w:rPr>
              <w:t>=</w:t>
            </w:r>
          </w:p>
        </w:tc>
        <w:tc>
          <w:tcPr>
            <w:tcW w:w="6165" w:type="dxa"/>
          </w:tcPr>
          <w:p w:rsidR="001F6071" w:rsidRDefault="001F6071" w:rsidP="0046042E">
            <w:pPr>
              <w:widowControl w:val="0"/>
              <w:rPr>
                <w:bCs/>
              </w:rPr>
            </w:pPr>
            <w:r w:rsidRPr="00FB4F8F">
              <w:rPr>
                <w:bCs/>
              </w:rPr>
              <w:t>constant based on relation of specific heats</w:t>
            </w:r>
            <w:r>
              <w:rPr>
                <w:bCs/>
              </w:rPr>
              <w:t xml:space="preserve"> </w:t>
            </w:r>
            <w:r w:rsidRPr="00FB4F8F">
              <w:rPr>
                <w:bCs/>
              </w:rPr>
              <w:t xml:space="preserve">(C </w:t>
            </w:r>
            <w:r>
              <w:rPr>
                <w:bCs/>
              </w:rPr>
              <w:t>m</w:t>
            </w:r>
            <w:r w:rsidRPr="00FB4F8F">
              <w:rPr>
                <w:bCs/>
              </w:rPr>
              <w:t>ay be obtained from the following table)</w:t>
            </w:r>
          </w:p>
        </w:tc>
      </w:tr>
    </w:tbl>
    <w:p w:rsidR="001F6071" w:rsidRDefault="001F6071" w:rsidP="001F6071">
      <w:pPr>
        <w:ind w:left="2493"/>
      </w:pPr>
      <w:r w:rsidRPr="00FB4F8F">
        <w:rPr>
          <w:bCs/>
        </w:rPr>
        <w:t>(If K is not known</w:t>
      </w:r>
      <w:r>
        <w:rPr>
          <w:bCs/>
        </w:rPr>
        <w:t>,</w:t>
      </w:r>
      <w:r w:rsidRPr="00FB4F8F">
        <w:rPr>
          <w:bCs/>
        </w:rPr>
        <w:t xml:space="preserve"> use C = 315)</w:t>
      </w:r>
    </w:p>
    <w:p w:rsidR="001F6071" w:rsidRDefault="001F6071" w:rsidP="00573770"/>
    <w:tbl>
      <w:tblPr>
        <w:tblW w:w="0" w:type="auto"/>
        <w:tblInd w:w="2475" w:type="dxa"/>
        <w:tblLook w:val="0000" w:firstRow="0" w:lastRow="0" w:firstColumn="0" w:lastColumn="0" w:noHBand="0" w:noVBand="0"/>
      </w:tblPr>
      <w:tblGrid>
        <w:gridCol w:w="1183"/>
        <w:gridCol w:w="1184"/>
        <w:gridCol w:w="1183"/>
        <w:gridCol w:w="1184"/>
        <w:gridCol w:w="1183"/>
        <w:gridCol w:w="1184"/>
      </w:tblGrid>
      <w:tr w:rsidR="001F6071" w:rsidTr="001F6071">
        <w:tblPrEx>
          <w:tblCellMar>
            <w:top w:w="0" w:type="dxa"/>
            <w:bottom w:w="0" w:type="dxa"/>
          </w:tblCellMar>
        </w:tblPrEx>
        <w:tc>
          <w:tcPr>
            <w:tcW w:w="1183" w:type="dxa"/>
          </w:tcPr>
          <w:p w:rsidR="001F6071" w:rsidRPr="00C60F75" w:rsidRDefault="001F6071" w:rsidP="0046042E">
            <w:pPr>
              <w:widowControl w:val="0"/>
              <w:rPr>
                <w:bCs/>
              </w:rPr>
            </w:pPr>
            <w:r>
              <w:rPr>
                <w:bCs/>
              </w:rPr>
              <w:t>K</w:t>
            </w:r>
          </w:p>
        </w:tc>
        <w:tc>
          <w:tcPr>
            <w:tcW w:w="1184" w:type="dxa"/>
          </w:tcPr>
          <w:p w:rsidR="001F6071" w:rsidRPr="00C60F75" w:rsidRDefault="001F6071" w:rsidP="0046042E">
            <w:pPr>
              <w:widowControl w:val="0"/>
              <w:rPr>
                <w:bCs/>
              </w:rPr>
            </w:pPr>
            <w:r>
              <w:rPr>
                <w:bCs/>
              </w:rPr>
              <w:t>C</w:t>
            </w:r>
          </w:p>
        </w:tc>
        <w:tc>
          <w:tcPr>
            <w:tcW w:w="1183" w:type="dxa"/>
          </w:tcPr>
          <w:p w:rsidR="001F6071" w:rsidRPr="00C60F75" w:rsidRDefault="001F6071" w:rsidP="0046042E">
            <w:pPr>
              <w:widowControl w:val="0"/>
              <w:rPr>
                <w:bCs/>
              </w:rPr>
            </w:pPr>
            <w:r>
              <w:rPr>
                <w:bCs/>
              </w:rPr>
              <w:t>K</w:t>
            </w:r>
          </w:p>
        </w:tc>
        <w:tc>
          <w:tcPr>
            <w:tcW w:w="1184" w:type="dxa"/>
          </w:tcPr>
          <w:p w:rsidR="001F6071" w:rsidRPr="00C60F75" w:rsidRDefault="001F6071" w:rsidP="0046042E">
            <w:pPr>
              <w:widowControl w:val="0"/>
              <w:rPr>
                <w:bCs/>
              </w:rPr>
            </w:pPr>
            <w:r>
              <w:rPr>
                <w:bCs/>
              </w:rPr>
              <w:t>C</w:t>
            </w:r>
          </w:p>
        </w:tc>
        <w:tc>
          <w:tcPr>
            <w:tcW w:w="1183" w:type="dxa"/>
          </w:tcPr>
          <w:p w:rsidR="001F6071" w:rsidRPr="00C60F75" w:rsidRDefault="001F6071" w:rsidP="0046042E">
            <w:pPr>
              <w:widowControl w:val="0"/>
              <w:rPr>
                <w:bCs/>
              </w:rPr>
            </w:pPr>
            <w:r>
              <w:rPr>
                <w:bCs/>
              </w:rPr>
              <w:t>K</w:t>
            </w:r>
          </w:p>
        </w:tc>
        <w:tc>
          <w:tcPr>
            <w:tcW w:w="1184" w:type="dxa"/>
          </w:tcPr>
          <w:p w:rsidR="001F6071" w:rsidRPr="00C60F75" w:rsidRDefault="001F6071" w:rsidP="0046042E">
            <w:pPr>
              <w:widowControl w:val="0"/>
              <w:rPr>
                <w:bCs/>
              </w:rPr>
            </w:pPr>
            <w:r>
              <w:rPr>
                <w:bCs/>
              </w:rPr>
              <w:t>C</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1.00</w:t>
            </w:r>
          </w:p>
        </w:tc>
        <w:tc>
          <w:tcPr>
            <w:tcW w:w="1184" w:type="dxa"/>
          </w:tcPr>
          <w:p w:rsidR="001F6071" w:rsidRPr="00C60F75" w:rsidRDefault="001F6071" w:rsidP="0046042E">
            <w:pPr>
              <w:widowControl w:val="0"/>
              <w:rPr>
                <w:bCs/>
              </w:rPr>
            </w:pPr>
            <w:r w:rsidRPr="00C60F75">
              <w:rPr>
                <w:bCs/>
              </w:rPr>
              <w:t>315</w:t>
            </w:r>
          </w:p>
        </w:tc>
        <w:tc>
          <w:tcPr>
            <w:tcW w:w="1183" w:type="dxa"/>
          </w:tcPr>
          <w:p w:rsidR="001F6071" w:rsidRPr="00C60F75" w:rsidRDefault="001F6071" w:rsidP="0046042E">
            <w:pPr>
              <w:widowControl w:val="0"/>
              <w:rPr>
                <w:bCs/>
              </w:rPr>
            </w:pPr>
            <w:r w:rsidRPr="00C60F75">
              <w:rPr>
                <w:bCs/>
              </w:rPr>
              <w:t>1.26</w:t>
            </w:r>
          </w:p>
        </w:tc>
        <w:tc>
          <w:tcPr>
            <w:tcW w:w="1184" w:type="dxa"/>
          </w:tcPr>
          <w:p w:rsidR="001F6071" w:rsidRPr="00C60F75" w:rsidRDefault="001F6071" w:rsidP="0046042E">
            <w:pPr>
              <w:widowControl w:val="0"/>
              <w:rPr>
                <w:bCs/>
              </w:rPr>
            </w:pPr>
            <w:r w:rsidRPr="00C60F75">
              <w:rPr>
                <w:bCs/>
              </w:rPr>
              <w:t>343</w:t>
            </w:r>
          </w:p>
        </w:tc>
        <w:tc>
          <w:tcPr>
            <w:tcW w:w="1183" w:type="dxa"/>
          </w:tcPr>
          <w:p w:rsidR="001F6071" w:rsidRPr="00C60F75" w:rsidRDefault="001F6071" w:rsidP="0046042E">
            <w:pPr>
              <w:widowControl w:val="0"/>
              <w:rPr>
                <w:bCs/>
              </w:rPr>
            </w:pPr>
            <w:r w:rsidRPr="00C60F75">
              <w:rPr>
                <w:bCs/>
              </w:rPr>
              <w:t>1.52</w:t>
            </w:r>
          </w:p>
        </w:tc>
        <w:tc>
          <w:tcPr>
            <w:tcW w:w="1184" w:type="dxa"/>
          </w:tcPr>
          <w:p w:rsidR="001F6071" w:rsidRPr="00C60F75" w:rsidRDefault="001F6071" w:rsidP="0046042E">
            <w:pPr>
              <w:widowControl w:val="0"/>
              <w:rPr>
                <w:bCs/>
              </w:rPr>
            </w:pPr>
            <w:r w:rsidRPr="00C60F75">
              <w:rPr>
                <w:bCs/>
              </w:rPr>
              <w:t>366</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1.02</w:t>
            </w:r>
          </w:p>
        </w:tc>
        <w:tc>
          <w:tcPr>
            <w:tcW w:w="1184" w:type="dxa"/>
          </w:tcPr>
          <w:p w:rsidR="001F6071" w:rsidRPr="00C60F75" w:rsidRDefault="001F6071" w:rsidP="0046042E">
            <w:pPr>
              <w:widowControl w:val="0"/>
              <w:rPr>
                <w:bCs/>
              </w:rPr>
            </w:pPr>
            <w:r w:rsidRPr="00C60F75">
              <w:rPr>
                <w:bCs/>
              </w:rPr>
              <w:t>318</w:t>
            </w:r>
          </w:p>
        </w:tc>
        <w:tc>
          <w:tcPr>
            <w:tcW w:w="1183" w:type="dxa"/>
          </w:tcPr>
          <w:p w:rsidR="001F6071" w:rsidRPr="00C60F75" w:rsidRDefault="001F6071" w:rsidP="0046042E">
            <w:pPr>
              <w:widowControl w:val="0"/>
              <w:rPr>
                <w:bCs/>
              </w:rPr>
            </w:pPr>
            <w:r w:rsidRPr="00C60F75">
              <w:rPr>
                <w:bCs/>
              </w:rPr>
              <w:t>1.28</w:t>
            </w:r>
          </w:p>
        </w:tc>
        <w:tc>
          <w:tcPr>
            <w:tcW w:w="1184" w:type="dxa"/>
          </w:tcPr>
          <w:p w:rsidR="001F6071" w:rsidRPr="00C60F75" w:rsidRDefault="001F6071" w:rsidP="0046042E">
            <w:pPr>
              <w:widowControl w:val="0"/>
              <w:rPr>
                <w:bCs/>
              </w:rPr>
            </w:pPr>
            <w:r w:rsidRPr="00C60F75">
              <w:rPr>
                <w:bCs/>
              </w:rPr>
              <w:t>345</w:t>
            </w:r>
          </w:p>
        </w:tc>
        <w:tc>
          <w:tcPr>
            <w:tcW w:w="1183" w:type="dxa"/>
          </w:tcPr>
          <w:p w:rsidR="001F6071" w:rsidRPr="00C60F75" w:rsidRDefault="001F6071" w:rsidP="0046042E">
            <w:pPr>
              <w:widowControl w:val="0"/>
              <w:rPr>
                <w:bCs/>
              </w:rPr>
            </w:pPr>
            <w:r w:rsidRPr="00C60F75">
              <w:rPr>
                <w:bCs/>
              </w:rPr>
              <w:t>1.54</w:t>
            </w:r>
          </w:p>
        </w:tc>
        <w:tc>
          <w:tcPr>
            <w:tcW w:w="1184" w:type="dxa"/>
          </w:tcPr>
          <w:p w:rsidR="001F6071" w:rsidRPr="00C60F75" w:rsidRDefault="001F6071" w:rsidP="0046042E">
            <w:pPr>
              <w:widowControl w:val="0"/>
              <w:rPr>
                <w:bCs/>
              </w:rPr>
            </w:pPr>
            <w:r w:rsidRPr="00C60F75">
              <w:rPr>
                <w:bCs/>
              </w:rPr>
              <w:t>368</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1.04</w:t>
            </w:r>
          </w:p>
        </w:tc>
        <w:tc>
          <w:tcPr>
            <w:tcW w:w="1184" w:type="dxa"/>
          </w:tcPr>
          <w:p w:rsidR="001F6071" w:rsidRPr="00C60F75" w:rsidRDefault="001F6071" w:rsidP="0046042E">
            <w:pPr>
              <w:widowControl w:val="0"/>
              <w:rPr>
                <w:bCs/>
              </w:rPr>
            </w:pPr>
            <w:r w:rsidRPr="00C60F75">
              <w:rPr>
                <w:bCs/>
              </w:rPr>
              <w:t>320</w:t>
            </w:r>
          </w:p>
        </w:tc>
        <w:tc>
          <w:tcPr>
            <w:tcW w:w="1183" w:type="dxa"/>
          </w:tcPr>
          <w:p w:rsidR="001F6071" w:rsidRPr="00C60F75" w:rsidRDefault="001F6071" w:rsidP="0046042E">
            <w:pPr>
              <w:widowControl w:val="0"/>
              <w:rPr>
                <w:bCs/>
              </w:rPr>
            </w:pPr>
            <w:r w:rsidRPr="00C60F75">
              <w:rPr>
                <w:bCs/>
              </w:rPr>
              <w:t>1.30</w:t>
            </w:r>
          </w:p>
        </w:tc>
        <w:tc>
          <w:tcPr>
            <w:tcW w:w="1184" w:type="dxa"/>
          </w:tcPr>
          <w:p w:rsidR="001F6071" w:rsidRPr="00C60F75" w:rsidRDefault="001F6071" w:rsidP="0046042E">
            <w:pPr>
              <w:widowControl w:val="0"/>
              <w:rPr>
                <w:bCs/>
              </w:rPr>
            </w:pPr>
            <w:r w:rsidRPr="00C60F75">
              <w:rPr>
                <w:bCs/>
              </w:rPr>
              <w:t>347</w:t>
            </w:r>
          </w:p>
        </w:tc>
        <w:tc>
          <w:tcPr>
            <w:tcW w:w="1183" w:type="dxa"/>
          </w:tcPr>
          <w:p w:rsidR="001F6071" w:rsidRPr="00C60F75" w:rsidRDefault="001F6071" w:rsidP="0046042E">
            <w:pPr>
              <w:widowControl w:val="0"/>
              <w:rPr>
                <w:bCs/>
              </w:rPr>
            </w:pPr>
            <w:r w:rsidRPr="00C60F75">
              <w:rPr>
                <w:bCs/>
              </w:rPr>
              <w:t>1.56</w:t>
            </w:r>
          </w:p>
        </w:tc>
        <w:tc>
          <w:tcPr>
            <w:tcW w:w="1184" w:type="dxa"/>
          </w:tcPr>
          <w:p w:rsidR="001F6071" w:rsidRPr="00C60F75" w:rsidRDefault="001F6071" w:rsidP="0046042E">
            <w:pPr>
              <w:widowControl w:val="0"/>
              <w:rPr>
                <w:bCs/>
              </w:rPr>
            </w:pPr>
            <w:r w:rsidRPr="00C60F75">
              <w:rPr>
                <w:bCs/>
              </w:rPr>
              <w:t>369</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1.06</w:t>
            </w:r>
          </w:p>
        </w:tc>
        <w:tc>
          <w:tcPr>
            <w:tcW w:w="1184" w:type="dxa"/>
          </w:tcPr>
          <w:p w:rsidR="001F6071" w:rsidRPr="00C60F75" w:rsidRDefault="001F6071" w:rsidP="0046042E">
            <w:pPr>
              <w:widowControl w:val="0"/>
              <w:rPr>
                <w:bCs/>
              </w:rPr>
            </w:pPr>
            <w:r w:rsidRPr="00C60F75">
              <w:rPr>
                <w:bCs/>
              </w:rPr>
              <w:t>322</w:t>
            </w:r>
          </w:p>
        </w:tc>
        <w:tc>
          <w:tcPr>
            <w:tcW w:w="1183" w:type="dxa"/>
          </w:tcPr>
          <w:p w:rsidR="001F6071" w:rsidRPr="00C60F75" w:rsidRDefault="001F6071" w:rsidP="0046042E">
            <w:pPr>
              <w:widowControl w:val="0"/>
              <w:rPr>
                <w:bCs/>
              </w:rPr>
            </w:pPr>
            <w:r w:rsidRPr="00C60F75">
              <w:rPr>
                <w:bCs/>
              </w:rPr>
              <w:t>1.32</w:t>
            </w:r>
          </w:p>
        </w:tc>
        <w:tc>
          <w:tcPr>
            <w:tcW w:w="1184" w:type="dxa"/>
          </w:tcPr>
          <w:p w:rsidR="001F6071" w:rsidRPr="00C60F75" w:rsidRDefault="001F6071" w:rsidP="0046042E">
            <w:pPr>
              <w:widowControl w:val="0"/>
              <w:rPr>
                <w:bCs/>
              </w:rPr>
            </w:pPr>
            <w:r w:rsidRPr="00C60F75">
              <w:rPr>
                <w:bCs/>
              </w:rPr>
              <w:t>349</w:t>
            </w:r>
          </w:p>
        </w:tc>
        <w:tc>
          <w:tcPr>
            <w:tcW w:w="1183" w:type="dxa"/>
          </w:tcPr>
          <w:p w:rsidR="001F6071" w:rsidRPr="00C60F75" w:rsidRDefault="001F6071" w:rsidP="0046042E">
            <w:pPr>
              <w:widowControl w:val="0"/>
              <w:rPr>
                <w:bCs/>
              </w:rPr>
            </w:pPr>
            <w:r w:rsidRPr="00C60F75">
              <w:rPr>
                <w:bCs/>
              </w:rPr>
              <w:t>1.58</w:t>
            </w:r>
          </w:p>
        </w:tc>
        <w:tc>
          <w:tcPr>
            <w:tcW w:w="1184" w:type="dxa"/>
          </w:tcPr>
          <w:p w:rsidR="001F6071" w:rsidRPr="00C60F75" w:rsidRDefault="001F6071" w:rsidP="0046042E">
            <w:pPr>
              <w:widowControl w:val="0"/>
              <w:rPr>
                <w:bCs/>
              </w:rPr>
            </w:pPr>
            <w:r w:rsidRPr="00C60F75">
              <w:rPr>
                <w:bCs/>
              </w:rPr>
              <w:t xml:space="preserve">371 </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1.08</w:t>
            </w:r>
          </w:p>
        </w:tc>
        <w:tc>
          <w:tcPr>
            <w:tcW w:w="1184" w:type="dxa"/>
          </w:tcPr>
          <w:p w:rsidR="001F6071" w:rsidRPr="00C60F75" w:rsidRDefault="001F6071" w:rsidP="0046042E">
            <w:pPr>
              <w:widowControl w:val="0"/>
              <w:rPr>
                <w:bCs/>
              </w:rPr>
            </w:pPr>
            <w:r w:rsidRPr="00C60F75">
              <w:rPr>
                <w:bCs/>
              </w:rPr>
              <w:t>324</w:t>
            </w:r>
          </w:p>
        </w:tc>
        <w:tc>
          <w:tcPr>
            <w:tcW w:w="1183" w:type="dxa"/>
          </w:tcPr>
          <w:p w:rsidR="001F6071" w:rsidRPr="00C60F75" w:rsidRDefault="001F6071" w:rsidP="0046042E">
            <w:pPr>
              <w:widowControl w:val="0"/>
              <w:rPr>
                <w:bCs/>
              </w:rPr>
            </w:pPr>
            <w:r w:rsidRPr="00C60F75">
              <w:rPr>
                <w:bCs/>
              </w:rPr>
              <w:t>1.34</w:t>
            </w:r>
          </w:p>
        </w:tc>
        <w:tc>
          <w:tcPr>
            <w:tcW w:w="1184" w:type="dxa"/>
          </w:tcPr>
          <w:p w:rsidR="001F6071" w:rsidRPr="00C60F75" w:rsidRDefault="001F6071" w:rsidP="0046042E">
            <w:pPr>
              <w:widowControl w:val="0"/>
              <w:rPr>
                <w:bCs/>
              </w:rPr>
            </w:pPr>
            <w:r w:rsidRPr="00C60F75">
              <w:rPr>
                <w:bCs/>
              </w:rPr>
              <w:t>351</w:t>
            </w:r>
          </w:p>
        </w:tc>
        <w:tc>
          <w:tcPr>
            <w:tcW w:w="1183" w:type="dxa"/>
          </w:tcPr>
          <w:p w:rsidR="001F6071" w:rsidRPr="00C60F75" w:rsidRDefault="001F6071" w:rsidP="0046042E">
            <w:pPr>
              <w:widowControl w:val="0"/>
              <w:rPr>
                <w:bCs/>
              </w:rPr>
            </w:pPr>
            <w:r w:rsidRPr="00C60F75">
              <w:rPr>
                <w:bCs/>
              </w:rPr>
              <w:t>1.60</w:t>
            </w:r>
          </w:p>
        </w:tc>
        <w:tc>
          <w:tcPr>
            <w:tcW w:w="1184" w:type="dxa"/>
          </w:tcPr>
          <w:p w:rsidR="001F6071" w:rsidRPr="00C60F75" w:rsidRDefault="001F6071" w:rsidP="0046042E">
            <w:pPr>
              <w:widowControl w:val="0"/>
              <w:rPr>
                <w:bCs/>
              </w:rPr>
            </w:pPr>
            <w:r w:rsidRPr="00C60F75">
              <w:rPr>
                <w:bCs/>
              </w:rPr>
              <w:t>372</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1.10</w:t>
            </w:r>
          </w:p>
        </w:tc>
        <w:tc>
          <w:tcPr>
            <w:tcW w:w="1184" w:type="dxa"/>
          </w:tcPr>
          <w:p w:rsidR="001F6071" w:rsidRPr="00C60F75" w:rsidRDefault="001F6071" w:rsidP="0046042E">
            <w:pPr>
              <w:widowControl w:val="0"/>
              <w:rPr>
                <w:bCs/>
              </w:rPr>
            </w:pPr>
            <w:r w:rsidRPr="00C60F75">
              <w:rPr>
                <w:bCs/>
              </w:rPr>
              <w:t>327</w:t>
            </w:r>
          </w:p>
        </w:tc>
        <w:tc>
          <w:tcPr>
            <w:tcW w:w="1183" w:type="dxa"/>
          </w:tcPr>
          <w:p w:rsidR="001F6071" w:rsidRPr="00C60F75" w:rsidRDefault="001F6071" w:rsidP="0046042E">
            <w:pPr>
              <w:widowControl w:val="0"/>
              <w:rPr>
                <w:bCs/>
              </w:rPr>
            </w:pPr>
            <w:r w:rsidRPr="00C60F75">
              <w:rPr>
                <w:bCs/>
              </w:rPr>
              <w:t>1.36</w:t>
            </w:r>
          </w:p>
        </w:tc>
        <w:tc>
          <w:tcPr>
            <w:tcW w:w="1184" w:type="dxa"/>
          </w:tcPr>
          <w:p w:rsidR="001F6071" w:rsidRPr="00C60F75" w:rsidRDefault="001F6071" w:rsidP="0046042E">
            <w:pPr>
              <w:widowControl w:val="0"/>
              <w:rPr>
                <w:bCs/>
              </w:rPr>
            </w:pPr>
            <w:r w:rsidRPr="00C60F75">
              <w:rPr>
                <w:bCs/>
              </w:rPr>
              <w:t>352</w:t>
            </w:r>
          </w:p>
        </w:tc>
        <w:tc>
          <w:tcPr>
            <w:tcW w:w="1183" w:type="dxa"/>
          </w:tcPr>
          <w:p w:rsidR="001F6071" w:rsidRPr="00C60F75" w:rsidRDefault="001F6071" w:rsidP="0046042E">
            <w:pPr>
              <w:widowControl w:val="0"/>
              <w:rPr>
                <w:bCs/>
              </w:rPr>
            </w:pPr>
            <w:r w:rsidRPr="00C60F75">
              <w:rPr>
                <w:bCs/>
              </w:rPr>
              <w:t>1.62</w:t>
            </w:r>
          </w:p>
        </w:tc>
        <w:tc>
          <w:tcPr>
            <w:tcW w:w="1184" w:type="dxa"/>
          </w:tcPr>
          <w:p w:rsidR="001F6071" w:rsidRPr="00C60F75" w:rsidRDefault="001F6071" w:rsidP="0046042E">
            <w:pPr>
              <w:widowControl w:val="0"/>
              <w:rPr>
                <w:bCs/>
              </w:rPr>
            </w:pPr>
            <w:r w:rsidRPr="00C60F75">
              <w:rPr>
                <w:bCs/>
              </w:rPr>
              <w:t>374</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1.12</w:t>
            </w:r>
          </w:p>
        </w:tc>
        <w:tc>
          <w:tcPr>
            <w:tcW w:w="1184" w:type="dxa"/>
          </w:tcPr>
          <w:p w:rsidR="001F6071" w:rsidRPr="00C60F75" w:rsidRDefault="001F6071" w:rsidP="0046042E">
            <w:pPr>
              <w:widowControl w:val="0"/>
              <w:rPr>
                <w:bCs/>
              </w:rPr>
            </w:pPr>
            <w:r w:rsidRPr="00C60F75">
              <w:rPr>
                <w:bCs/>
              </w:rPr>
              <w:t>329</w:t>
            </w:r>
          </w:p>
        </w:tc>
        <w:tc>
          <w:tcPr>
            <w:tcW w:w="1183" w:type="dxa"/>
          </w:tcPr>
          <w:p w:rsidR="001F6071" w:rsidRPr="00C60F75" w:rsidRDefault="001F6071" w:rsidP="0046042E">
            <w:pPr>
              <w:widowControl w:val="0"/>
              <w:rPr>
                <w:bCs/>
              </w:rPr>
            </w:pPr>
            <w:r w:rsidRPr="00C60F75">
              <w:rPr>
                <w:bCs/>
              </w:rPr>
              <w:t>1.38</w:t>
            </w:r>
          </w:p>
        </w:tc>
        <w:tc>
          <w:tcPr>
            <w:tcW w:w="1184" w:type="dxa"/>
          </w:tcPr>
          <w:p w:rsidR="001F6071" w:rsidRPr="00C60F75" w:rsidRDefault="001F6071" w:rsidP="0046042E">
            <w:pPr>
              <w:widowControl w:val="0"/>
              <w:rPr>
                <w:bCs/>
              </w:rPr>
            </w:pPr>
            <w:r w:rsidRPr="00C60F75">
              <w:rPr>
                <w:bCs/>
              </w:rPr>
              <w:t>354</w:t>
            </w:r>
          </w:p>
        </w:tc>
        <w:tc>
          <w:tcPr>
            <w:tcW w:w="1183" w:type="dxa"/>
          </w:tcPr>
          <w:p w:rsidR="001F6071" w:rsidRPr="00C60F75" w:rsidRDefault="001F6071" w:rsidP="0046042E">
            <w:pPr>
              <w:widowControl w:val="0"/>
              <w:rPr>
                <w:bCs/>
              </w:rPr>
            </w:pPr>
            <w:r w:rsidRPr="00C60F75">
              <w:rPr>
                <w:bCs/>
              </w:rPr>
              <w:t>1.64</w:t>
            </w:r>
          </w:p>
        </w:tc>
        <w:tc>
          <w:tcPr>
            <w:tcW w:w="1184" w:type="dxa"/>
          </w:tcPr>
          <w:p w:rsidR="001F6071" w:rsidRPr="00C60F75" w:rsidRDefault="001F6071" w:rsidP="0046042E">
            <w:pPr>
              <w:widowControl w:val="0"/>
              <w:rPr>
                <w:bCs/>
              </w:rPr>
            </w:pPr>
            <w:r w:rsidRPr="00C60F75">
              <w:rPr>
                <w:bCs/>
              </w:rPr>
              <w:t>376</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1.14</w:t>
            </w:r>
          </w:p>
        </w:tc>
        <w:tc>
          <w:tcPr>
            <w:tcW w:w="1184" w:type="dxa"/>
          </w:tcPr>
          <w:p w:rsidR="001F6071" w:rsidRPr="00C60F75" w:rsidRDefault="001F6071" w:rsidP="0046042E">
            <w:pPr>
              <w:widowControl w:val="0"/>
              <w:rPr>
                <w:bCs/>
              </w:rPr>
            </w:pPr>
            <w:r w:rsidRPr="00C60F75">
              <w:rPr>
                <w:bCs/>
              </w:rPr>
              <w:t>331</w:t>
            </w:r>
          </w:p>
        </w:tc>
        <w:tc>
          <w:tcPr>
            <w:tcW w:w="1183" w:type="dxa"/>
          </w:tcPr>
          <w:p w:rsidR="001F6071" w:rsidRPr="00C60F75" w:rsidRDefault="001F6071" w:rsidP="0046042E">
            <w:pPr>
              <w:widowControl w:val="0"/>
              <w:rPr>
                <w:bCs/>
              </w:rPr>
            </w:pPr>
            <w:r w:rsidRPr="00C60F75">
              <w:rPr>
                <w:bCs/>
              </w:rPr>
              <w:t>1.40</w:t>
            </w:r>
          </w:p>
        </w:tc>
        <w:tc>
          <w:tcPr>
            <w:tcW w:w="1184" w:type="dxa"/>
          </w:tcPr>
          <w:p w:rsidR="001F6071" w:rsidRPr="00C60F75" w:rsidRDefault="001F6071" w:rsidP="0046042E">
            <w:pPr>
              <w:widowControl w:val="0"/>
              <w:rPr>
                <w:bCs/>
              </w:rPr>
            </w:pPr>
            <w:r w:rsidRPr="00C60F75">
              <w:rPr>
                <w:bCs/>
              </w:rPr>
              <w:t>356</w:t>
            </w:r>
          </w:p>
        </w:tc>
        <w:tc>
          <w:tcPr>
            <w:tcW w:w="1183" w:type="dxa"/>
          </w:tcPr>
          <w:p w:rsidR="001F6071" w:rsidRPr="00C60F75" w:rsidRDefault="001F6071" w:rsidP="0046042E">
            <w:pPr>
              <w:widowControl w:val="0"/>
              <w:rPr>
                <w:bCs/>
              </w:rPr>
            </w:pPr>
            <w:r w:rsidRPr="00C60F75">
              <w:rPr>
                <w:bCs/>
              </w:rPr>
              <w:t>1.66</w:t>
            </w:r>
          </w:p>
        </w:tc>
        <w:tc>
          <w:tcPr>
            <w:tcW w:w="1184" w:type="dxa"/>
          </w:tcPr>
          <w:p w:rsidR="001F6071" w:rsidRPr="00C60F75" w:rsidRDefault="001F6071" w:rsidP="0046042E">
            <w:pPr>
              <w:widowControl w:val="0"/>
              <w:rPr>
                <w:bCs/>
              </w:rPr>
            </w:pPr>
            <w:r w:rsidRPr="00C60F75">
              <w:rPr>
                <w:bCs/>
              </w:rPr>
              <w:t>377</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1.16</w:t>
            </w:r>
          </w:p>
        </w:tc>
        <w:tc>
          <w:tcPr>
            <w:tcW w:w="1184" w:type="dxa"/>
          </w:tcPr>
          <w:p w:rsidR="001F6071" w:rsidRPr="00C60F75" w:rsidRDefault="001F6071" w:rsidP="0046042E">
            <w:pPr>
              <w:widowControl w:val="0"/>
              <w:rPr>
                <w:bCs/>
              </w:rPr>
            </w:pPr>
            <w:r w:rsidRPr="00C60F75">
              <w:rPr>
                <w:bCs/>
              </w:rPr>
              <w:t>333</w:t>
            </w:r>
          </w:p>
        </w:tc>
        <w:tc>
          <w:tcPr>
            <w:tcW w:w="1183" w:type="dxa"/>
          </w:tcPr>
          <w:p w:rsidR="001F6071" w:rsidRPr="00C60F75" w:rsidRDefault="001F6071" w:rsidP="0046042E">
            <w:pPr>
              <w:widowControl w:val="0"/>
              <w:rPr>
                <w:bCs/>
              </w:rPr>
            </w:pPr>
            <w:r w:rsidRPr="00C60F75">
              <w:rPr>
                <w:bCs/>
              </w:rPr>
              <w:t>1.42</w:t>
            </w:r>
          </w:p>
        </w:tc>
        <w:tc>
          <w:tcPr>
            <w:tcW w:w="1184" w:type="dxa"/>
          </w:tcPr>
          <w:p w:rsidR="001F6071" w:rsidRPr="00C60F75" w:rsidRDefault="001F6071" w:rsidP="0046042E">
            <w:pPr>
              <w:widowControl w:val="0"/>
              <w:rPr>
                <w:bCs/>
              </w:rPr>
            </w:pPr>
            <w:r w:rsidRPr="00C60F75">
              <w:rPr>
                <w:bCs/>
              </w:rPr>
              <w:t>358</w:t>
            </w:r>
          </w:p>
        </w:tc>
        <w:tc>
          <w:tcPr>
            <w:tcW w:w="1183" w:type="dxa"/>
          </w:tcPr>
          <w:p w:rsidR="001F6071" w:rsidRPr="00C60F75" w:rsidRDefault="001F6071" w:rsidP="0046042E">
            <w:pPr>
              <w:widowControl w:val="0"/>
              <w:rPr>
                <w:bCs/>
              </w:rPr>
            </w:pPr>
            <w:r w:rsidRPr="00C60F75">
              <w:rPr>
                <w:bCs/>
              </w:rPr>
              <w:t>1.68</w:t>
            </w:r>
          </w:p>
        </w:tc>
        <w:tc>
          <w:tcPr>
            <w:tcW w:w="1184" w:type="dxa"/>
          </w:tcPr>
          <w:p w:rsidR="001F6071" w:rsidRPr="00C60F75" w:rsidRDefault="001F6071" w:rsidP="0046042E">
            <w:pPr>
              <w:widowControl w:val="0"/>
              <w:rPr>
                <w:bCs/>
              </w:rPr>
            </w:pPr>
            <w:r w:rsidRPr="00C60F75">
              <w:rPr>
                <w:bCs/>
              </w:rPr>
              <w:t>379</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1.18</w:t>
            </w:r>
          </w:p>
        </w:tc>
        <w:tc>
          <w:tcPr>
            <w:tcW w:w="1184" w:type="dxa"/>
          </w:tcPr>
          <w:p w:rsidR="001F6071" w:rsidRPr="00C60F75" w:rsidRDefault="001F6071" w:rsidP="0046042E">
            <w:pPr>
              <w:widowControl w:val="0"/>
              <w:rPr>
                <w:bCs/>
              </w:rPr>
            </w:pPr>
            <w:r w:rsidRPr="00C60F75">
              <w:rPr>
                <w:bCs/>
              </w:rPr>
              <w:t>335</w:t>
            </w:r>
          </w:p>
        </w:tc>
        <w:tc>
          <w:tcPr>
            <w:tcW w:w="1183" w:type="dxa"/>
          </w:tcPr>
          <w:p w:rsidR="001F6071" w:rsidRPr="00C60F75" w:rsidRDefault="001F6071" w:rsidP="0046042E">
            <w:pPr>
              <w:widowControl w:val="0"/>
              <w:rPr>
                <w:bCs/>
              </w:rPr>
            </w:pPr>
            <w:r w:rsidRPr="00C60F75">
              <w:rPr>
                <w:bCs/>
              </w:rPr>
              <w:t>1.44</w:t>
            </w:r>
          </w:p>
        </w:tc>
        <w:tc>
          <w:tcPr>
            <w:tcW w:w="1184" w:type="dxa"/>
          </w:tcPr>
          <w:p w:rsidR="001F6071" w:rsidRPr="00C60F75" w:rsidRDefault="001F6071" w:rsidP="0046042E">
            <w:pPr>
              <w:widowControl w:val="0"/>
              <w:rPr>
                <w:bCs/>
              </w:rPr>
            </w:pPr>
            <w:r w:rsidRPr="00C60F75">
              <w:rPr>
                <w:bCs/>
              </w:rPr>
              <w:t>359</w:t>
            </w:r>
          </w:p>
        </w:tc>
        <w:tc>
          <w:tcPr>
            <w:tcW w:w="1183" w:type="dxa"/>
          </w:tcPr>
          <w:p w:rsidR="001F6071" w:rsidRPr="00C60F75" w:rsidRDefault="001F6071" w:rsidP="0046042E">
            <w:pPr>
              <w:widowControl w:val="0"/>
              <w:rPr>
                <w:bCs/>
              </w:rPr>
            </w:pPr>
            <w:r w:rsidRPr="00C60F75">
              <w:rPr>
                <w:bCs/>
              </w:rPr>
              <w:t>1.70</w:t>
            </w:r>
          </w:p>
        </w:tc>
        <w:tc>
          <w:tcPr>
            <w:tcW w:w="1184" w:type="dxa"/>
          </w:tcPr>
          <w:p w:rsidR="001F6071" w:rsidRPr="00C60F75" w:rsidRDefault="001F6071" w:rsidP="0046042E">
            <w:pPr>
              <w:widowControl w:val="0"/>
              <w:rPr>
                <w:bCs/>
              </w:rPr>
            </w:pPr>
            <w:r w:rsidRPr="00C60F75">
              <w:rPr>
                <w:bCs/>
              </w:rPr>
              <w:t>380</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1.20</w:t>
            </w:r>
          </w:p>
        </w:tc>
        <w:tc>
          <w:tcPr>
            <w:tcW w:w="1184" w:type="dxa"/>
          </w:tcPr>
          <w:p w:rsidR="001F6071" w:rsidRPr="00C60F75" w:rsidRDefault="001F6071" w:rsidP="0046042E">
            <w:pPr>
              <w:widowControl w:val="0"/>
              <w:rPr>
                <w:bCs/>
              </w:rPr>
            </w:pPr>
            <w:r w:rsidRPr="00C60F75">
              <w:rPr>
                <w:bCs/>
              </w:rPr>
              <w:t>337</w:t>
            </w:r>
          </w:p>
        </w:tc>
        <w:tc>
          <w:tcPr>
            <w:tcW w:w="1183" w:type="dxa"/>
          </w:tcPr>
          <w:p w:rsidR="001F6071" w:rsidRPr="00C60F75" w:rsidRDefault="001F6071" w:rsidP="0046042E">
            <w:pPr>
              <w:widowControl w:val="0"/>
              <w:rPr>
                <w:bCs/>
              </w:rPr>
            </w:pPr>
            <w:r w:rsidRPr="00C60F75">
              <w:rPr>
                <w:bCs/>
              </w:rPr>
              <w:t>1.46</w:t>
            </w:r>
          </w:p>
        </w:tc>
        <w:tc>
          <w:tcPr>
            <w:tcW w:w="1184" w:type="dxa"/>
          </w:tcPr>
          <w:p w:rsidR="001F6071" w:rsidRPr="00C60F75" w:rsidRDefault="001F6071" w:rsidP="0046042E">
            <w:pPr>
              <w:widowControl w:val="0"/>
              <w:rPr>
                <w:bCs/>
              </w:rPr>
            </w:pPr>
            <w:r w:rsidRPr="00C60F75">
              <w:rPr>
                <w:bCs/>
              </w:rPr>
              <w:t>361</w:t>
            </w:r>
          </w:p>
        </w:tc>
        <w:tc>
          <w:tcPr>
            <w:tcW w:w="1183" w:type="dxa"/>
          </w:tcPr>
          <w:p w:rsidR="001F6071" w:rsidRPr="00C60F75" w:rsidRDefault="001F6071" w:rsidP="0046042E">
            <w:pPr>
              <w:widowControl w:val="0"/>
              <w:rPr>
                <w:bCs/>
              </w:rPr>
            </w:pPr>
            <w:r w:rsidRPr="00C60F75">
              <w:rPr>
                <w:bCs/>
              </w:rPr>
              <w:t>2.00</w:t>
            </w:r>
          </w:p>
        </w:tc>
        <w:tc>
          <w:tcPr>
            <w:tcW w:w="1184" w:type="dxa"/>
          </w:tcPr>
          <w:p w:rsidR="001F6071" w:rsidRPr="00C60F75" w:rsidRDefault="001F6071" w:rsidP="0046042E">
            <w:pPr>
              <w:widowControl w:val="0"/>
              <w:rPr>
                <w:bCs/>
              </w:rPr>
            </w:pPr>
            <w:r w:rsidRPr="00C60F75">
              <w:rPr>
                <w:bCs/>
              </w:rPr>
              <w:t>400</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sidRPr="00C60F75">
              <w:rPr>
                <w:bCs/>
              </w:rPr>
              <w:t>1.22</w:t>
            </w:r>
          </w:p>
        </w:tc>
        <w:tc>
          <w:tcPr>
            <w:tcW w:w="1184" w:type="dxa"/>
          </w:tcPr>
          <w:p w:rsidR="001F6071" w:rsidRPr="00C60F75" w:rsidRDefault="001F6071" w:rsidP="0046042E">
            <w:pPr>
              <w:widowControl w:val="0"/>
              <w:rPr>
                <w:bCs/>
              </w:rPr>
            </w:pPr>
            <w:r w:rsidRPr="00C60F75">
              <w:rPr>
                <w:bCs/>
              </w:rPr>
              <w:t>339</w:t>
            </w:r>
          </w:p>
        </w:tc>
        <w:tc>
          <w:tcPr>
            <w:tcW w:w="1183" w:type="dxa"/>
          </w:tcPr>
          <w:p w:rsidR="001F6071" w:rsidRPr="00C60F75" w:rsidRDefault="001F6071" w:rsidP="0046042E">
            <w:pPr>
              <w:widowControl w:val="0"/>
              <w:rPr>
                <w:bCs/>
              </w:rPr>
            </w:pPr>
            <w:r w:rsidRPr="00C60F75">
              <w:rPr>
                <w:bCs/>
              </w:rPr>
              <w:t>1.48</w:t>
            </w:r>
          </w:p>
        </w:tc>
        <w:tc>
          <w:tcPr>
            <w:tcW w:w="1184" w:type="dxa"/>
          </w:tcPr>
          <w:p w:rsidR="001F6071" w:rsidRPr="00C60F75" w:rsidRDefault="001F6071" w:rsidP="0046042E">
            <w:pPr>
              <w:widowControl w:val="0"/>
              <w:rPr>
                <w:bCs/>
              </w:rPr>
            </w:pPr>
            <w:r w:rsidRPr="00C60F75">
              <w:rPr>
                <w:bCs/>
              </w:rPr>
              <w:t>363</w:t>
            </w:r>
          </w:p>
        </w:tc>
        <w:tc>
          <w:tcPr>
            <w:tcW w:w="1183" w:type="dxa"/>
          </w:tcPr>
          <w:p w:rsidR="001F6071" w:rsidRPr="00C60F75" w:rsidRDefault="001F6071" w:rsidP="0046042E">
            <w:pPr>
              <w:widowControl w:val="0"/>
              <w:rPr>
                <w:bCs/>
              </w:rPr>
            </w:pPr>
            <w:r w:rsidRPr="00C60F75">
              <w:rPr>
                <w:bCs/>
              </w:rPr>
              <w:t>2.20</w:t>
            </w:r>
          </w:p>
        </w:tc>
        <w:tc>
          <w:tcPr>
            <w:tcW w:w="1184" w:type="dxa"/>
          </w:tcPr>
          <w:p w:rsidR="001F6071" w:rsidRPr="00C60F75" w:rsidRDefault="001F6071" w:rsidP="0046042E">
            <w:pPr>
              <w:widowControl w:val="0"/>
              <w:rPr>
                <w:bCs/>
              </w:rPr>
            </w:pPr>
            <w:r w:rsidRPr="00C60F75">
              <w:rPr>
                <w:bCs/>
              </w:rPr>
              <w:t>412</w:t>
            </w:r>
          </w:p>
        </w:tc>
      </w:tr>
      <w:tr w:rsidR="001F6071" w:rsidTr="001F6071">
        <w:tblPrEx>
          <w:tblCellMar>
            <w:top w:w="0" w:type="dxa"/>
            <w:bottom w:w="0" w:type="dxa"/>
          </w:tblCellMar>
        </w:tblPrEx>
        <w:tc>
          <w:tcPr>
            <w:tcW w:w="1183" w:type="dxa"/>
          </w:tcPr>
          <w:p w:rsidR="001F6071" w:rsidRPr="00C60F75" w:rsidRDefault="001F6071" w:rsidP="0046042E">
            <w:pPr>
              <w:widowControl w:val="0"/>
              <w:rPr>
                <w:bCs/>
              </w:rPr>
            </w:pPr>
            <w:r>
              <w:rPr>
                <w:bCs/>
              </w:rPr>
              <w:t>1.24</w:t>
            </w:r>
          </w:p>
        </w:tc>
        <w:tc>
          <w:tcPr>
            <w:tcW w:w="1184" w:type="dxa"/>
          </w:tcPr>
          <w:p w:rsidR="001F6071" w:rsidRPr="00C60F75" w:rsidRDefault="001F6071" w:rsidP="0046042E">
            <w:pPr>
              <w:widowControl w:val="0"/>
              <w:rPr>
                <w:bCs/>
              </w:rPr>
            </w:pPr>
            <w:r>
              <w:rPr>
                <w:bCs/>
              </w:rPr>
              <w:t>341</w:t>
            </w:r>
          </w:p>
        </w:tc>
        <w:tc>
          <w:tcPr>
            <w:tcW w:w="1183" w:type="dxa"/>
          </w:tcPr>
          <w:p w:rsidR="001F6071" w:rsidRPr="00C60F75" w:rsidRDefault="001F6071" w:rsidP="0046042E">
            <w:pPr>
              <w:widowControl w:val="0"/>
              <w:rPr>
                <w:bCs/>
              </w:rPr>
            </w:pPr>
            <w:r>
              <w:rPr>
                <w:bCs/>
              </w:rPr>
              <w:t>1.50</w:t>
            </w:r>
          </w:p>
        </w:tc>
        <w:tc>
          <w:tcPr>
            <w:tcW w:w="1184" w:type="dxa"/>
          </w:tcPr>
          <w:p w:rsidR="001F6071" w:rsidRPr="00C60F75" w:rsidRDefault="001F6071" w:rsidP="0046042E">
            <w:pPr>
              <w:widowControl w:val="0"/>
              <w:rPr>
                <w:bCs/>
              </w:rPr>
            </w:pPr>
            <w:r>
              <w:rPr>
                <w:bCs/>
              </w:rPr>
              <w:t>364</w:t>
            </w:r>
          </w:p>
        </w:tc>
        <w:tc>
          <w:tcPr>
            <w:tcW w:w="1183" w:type="dxa"/>
          </w:tcPr>
          <w:p w:rsidR="001F6071" w:rsidRPr="00C60F75" w:rsidRDefault="001F6071" w:rsidP="0046042E">
            <w:pPr>
              <w:widowControl w:val="0"/>
              <w:rPr>
                <w:bCs/>
              </w:rPr>
            </w:pPr>
          </w:p>
        </w:tc>
        <w:tc>
          <w:tcPr>
            <w:tcW w:w="1184" w:type="dxa"/>
          </w:tcPr>
          <w:p w:rsidR="001F6071" w:rsidRPr="00C60F75" w:rsidRDefault="001F6071" w:rsidP="0046042E">
            <w:pPr>
              <w:widowControl w:val="0"/>
              <w:rPr>
                <w:bCs/>
              </w:rPr>
            </w:pPr>
          </w:p>
        </w:tc>
      </w:tr>
    </w:tbl>
    <w:p w:rsidR="001F6071" w:rsidRDefault="001F6071" w:rsidP="00573770"/>
    <w:p w:rsidR="001F6071" w:rsidRDefault="001F6071" w:rsidP="001F6071">
      <w:pPr>
        <w:widowControl w:val="0"/>
        <w:ind w:left="1425"/>
        <w:rPr>
          <w:bCs/>
        </w:rPr>
      </w:pPr>
      <w:r>
        <w:rPr>
          <w:bCs/>
        </w:rPr>
        <w:t>4)</w:t>
      </w:r>
      <w:r>
        <w:rPr>
          <w:bCs/>
        </w:rPr>
        <w:tab/>
        <w:t>Where</w:t>
      </w:r>
    </w:p>
    <w:p w:rsidR="001F6071" w:rsidRDefault="001F6071" w:rsidP="00573770"/>
    <w:tbl>
      <w:tblPr>
        <w:tblW w:w="0" w:type="auto"/>
        <w:tblInd w:w="2508" w:type="dxa"/>
        <w:tblLook w:val="0000" w:firstRow="0" w:lastRow="0" w:firstColumn="0" w:lastColumn="0" w:noHBand="0" w:noVBand="0"/>
      </w:tblPr>
      <w:tblGrid>
        <w:gridCol w:w="600"/>
        <w:gridCol w:w="480"/>
        <w:gridCol w:w="3153"/>
        <w:gridCol w:w="1287"/>
      </w:tblGrid>
      <w:tr w:rsidR="001F6071" w:rsidTr="001F6071">
        <w:tblPrEx>
          <w:tblCellMar>
            <w:top w:w="0" w:type="dxa"/>
            <w:bottom w:w="0" w:type="dxa"/>
          </w:tblCellMar>
        </w:tblPrEx>
        <w:trPr>
          <w:gridAfter w:val="1"/>
          <w:wAfter w:w="1287" w:type="dxa"/>
        </w:trPr>
        <w:tc>
          <w:tcPr>
            <w:tcW w:w="600" w:type="dxa"/>
            <w:vMerge w:val="restart"/>
            <w:vAlign w:val="center"/>
          </w:tcPr>
          <w:p w:rsidR="001F6071" w:rsidRDefault="001F6071" w:rsidP="00573770">
            <w:r>
              <w:t>K</w:t>
            </w:r>
          </w:p>
        </w:tc>
        <w:tc>
          <w:tcPr>
            <w:tcW w:w="480" w:type="dxa"/>
            <w:vMerge w:val="restart"/>
            <w:vAlign w:val="center"/>
          </w:tcPr>
          <w:p w:rsidR="001F6071" w:rsidRDefault="001F6071" w:rsidP="00573770">
            <w:r>
              <w:t>=</w:t>
            </w:r>
          </w:p>
        </w:tc>
        <w:tc>
          <w:tcPr>
            <w:tcW w:w="3153" w:type="dxa"/>
            <w:tcBorders>
              <w:bottom w:val="single" w:sz="4" w:space="0" w:color="auto"/>
            </w:tcBorders>
          </w:tcPr>
          <w:p w:rsidR="001F6071" w:rsidRDefault="001F6071" w:rsidP="001F6071">
            <w:pPr>
              <w:jc w:val="center"/>
            </w:pPr>
            <w:r>
              <w:t>Cp at atmospheric conditions</w:t>
            </w:r>
          </w:p>
        </w:tc>
      </w:tr>
      <w:tr w:rsidR="001F6071" w:rsidTr="001F6071">
        <w:tblPrEx>
          <w:tblCellMar>
            <w:top w:w="0" w:type="dxa"/>
            <w:bottom w:w="0" w:type="dxa"/>
          </w:tblCellMar>
        </w:tblPrEx>
        <w:trPr>
          <w:gridAfter w:val="1"/>
          <w:wAfter w:w="1287" w:type="dxa"/>
        </w:trPr>
        <w:tc>
          <w:tcPr>
            <w:tcW w:w="600" w:type="dxa"/>
            <w:vMerge/>
          </w:tcPr>
          <w:p w:rsidR="001F6071" w:rsidRDefault="001F6071" w:rsidP="00573770"/>
        </w:tc>
        <w:tc>
          <w:tcPr>
            <w:tcW w:w="480" w:type="dxa"/>
            <w:vMerge/>
          </w:tcPr>
          <w:p w:rsidR="001F6071" w:rsidRDefault="001F6071" w:rsidP="00573770"/>
        </w:tc>
        <w:tc>
          <w:tcPr>
            <w:tcW w:w="3153" w:type="dxa"/>
            <w:tcBorders>
              <w:top w:val="single" w:sz="4" w:space="0" w:color="auto"/>
            </w:tcBorders>
          </w:tcPr>
          <w:p w:rsidR="001F6071" w:rsidRDefault="001F6071" w:rsidP="001F6071">
            <w:pPr>
              <w:jc w:val="center"/>
            </w:pPr>
            <w:r>
              <w:t>Cv</w:t>
            </w:r>
          </w:p>
        </w:tc>
      </w:tr>
      <w:tr w:rsidR="001F6071" w:rsidTr="001F6071">
        <w:tblPrEx>
          <w:tblCellMar>
            <w:top w:w="0" w:type="dxa"/>
            <w:bottom w:w="0" w:type="dxa"/>
          </w:tblCellMar>
        </w:tblPrEx>
        <w:tc>
          <w:tcPr>
            <w:tcW w:w="600" w:type="dxa"/>
          </w:tcPr>
          <w:p w:rsidR="001F6071" w:rsidRDefault="001F6071" w:rsidP="00573770">
            <w:r>
              <w:t>Cp</w:t>
            </w:r>
          </w:p>
        </w:tc>
        <w:tc>
          <w:tcPr>
            <w:tcW w:w="480" w:type="dxa"/>
          </w:tcPr>
          <w:p w:rsidR="001F6071" w:rsidRDefault="001F6071" w:rsidP="00573770">
            <w:r>
              <w:t>=</w:t>
            </w:r>
          </w:p>
        </w:tc>
        <w:tc>
          <w:tcPr>
            <w:tcW w:w="4440" w:type="dxa"/>
            <w:gridSpan w:val="2"/>
          </w:tcPr>
          <w:p w:rsidR="001F6071" w:rsidRDefault="001F6071" w:rsidP="00573770">
            <w:r>
              <w:t>specific heat of vapor at constant pressure</w:t>
            </w:r>
          </w:p>
        </w:tc>
      </w:tr>
      <w:tr w:rsidR="001F6071" w:rsidTr="001F6071">
        <w:tblPrEx>
          <w:tblCellMar>
            <w:top w:w="0" w:type="dxa"/>
            <w:bottom w:w="0" w:type="dxa"/>
          </w:tblCellMar>
        </w:tblPrEx>
        <w:tc>
          <w:tcPr>
            <w:tcW w:w="600" w:type="dxa"/>
          </w:tcPr>
          <w:p w:rsidR="001F6071" w:rsidRDefault="001F6071" w:rsidP="00573770">
            <w:r>
              <w:t>Cv</w:t>
            </w:r>
          </w:p>
        </w:tc>
        <w:tc>
          <w:tcPr>
            <w:tcW w:w="480" w:type="dxa"/>
          </w:tcPr>
          <w:p w:rsidR="001F6071" w:rsidRDefault="001F6071" w:rsidP="00573770">
            <w:r>
              <w:t>=</w:t>
            </w:r>
          </w:p>
        </w:tc>
        <w:tc>
          <w:tcPr>
            <w:tcW w:w="4440" w:type="dxa"/>
            <w:gridSpan w:val="2"/>
          </w:tcPr>
          <w:p w:rsidR="001F6071" w:rsidRDefault="001F6071" w:rsidP="00573770">
            <w:r>
              <w:t>specific heat of vapor at constant volume</w:t>
            </w:r>
          </w:p>
        </w:tc>
      </w:tr>
    </w:tbl>
    <w:p w:rsidR="001F6071" w:rsidRDefault="001F6071" w:rsidP="00573770"/>
    <w:p w:rsidR="001F6071" w:rsidRPr="00FB4F8F" w:rsidRDefault="001F6071" w:rsidP="001F6071">
      <w:pPr>
        <w:ind w:left="1440" w:hanging="720"/>
        <w:rPr>
          <w:bCs/>
        </w:rPr>
      </w:pPr>
      <w:r>
        <w:t>z)</w:t>
      </w:r>
      <w:r>
        <w:tab/>
      </w:r>
      <w:r w:rsidRPr="00FB4F8F">
        <w:rPr>
          <w:bCs/>
        </w:rPr>
        <w:t>Shutoff valves of adequate flow capacity may be provided and used to facilitate inspection and repair of pressure relief valves.  When a shutoff valve is provided, it shall be so arranged that it can be locked or sealed open, and it shall not be closed except by an authorized person who shall remain stationed there while the valve remains closed and who shall again lock or seal the valve open when leaving the station.</w:t>
      </w:r>
    </w:p>
    <w:p w:rsidR="001F6071" w:rsidRDefault="001F6071" w:rsidP="001F6071">
      <w:pPr>
        <w:ind w:left="1440" w:hanging="720"/>
      </w:pPr>
    </w:p>
    <w:p w:rsidR="001F6071" w:rsidRPr="00FB4F8F" w:rsidRDefault="001F6071" w:rsidP="001F6071">
      <w:pPr>
        <w:ind w:firstLine="720"/>
        <w:rPr>
          <w:bCs/>
        </w:rPr>
      </w:pPr>
      <w:r w:rsidRPr="00FB4F8F">
        <w:rPr>
          <w:bCs/>
        </w:rPr>
        <w:t>aa)</w:t>
      </w:r>
      <w:r>
        <w:rPr>
          <w:bCs/>
        </w:rPr>
        <w:tab/>
      </w:r>
      <w:r w:rsidRPr="00FB4F8F">
        <w:rPr>
          <w:bCs/>
        </w:rPr>
        <w:t>Pressure relief valves shall comply with the following:</w:t>
      </w:r>
    </w:p>
    <w:p w:rsidR="001F6071" w:rsidRDefault="001F6071" w:rsidP="001F6071">
      <w:pPr>
        <w:ind w:left="2160" w:hanging="720"/>
        <w:rPr>
          <w:bCs/>
        </w:rPr>
      </w:pPr>
    </w:p>
    <w:p w:rsidR="001F6071" w:rsidRDefault="001F6071" w:rsidP="001F6071">
      <w:pPr>
        <w:ind w:left="2160" w:hanging="720"/>
        <w:rPr>
          <w:bCs/>
        </w:rPr>
      </w:pPr>
      <w:r>
        <w:rPr>
          <w:bCs/>
        </w:rPr>
        <w:t>1)</w:t>
      </w:r>
      <w:r>
        <w:rPr>
          <w:bCs/>
        </w:rPr>
        <w:tab/>
      </w:r>
      <w:r w:rsidRPr="00FB4F8F">
        <w:rPr>
          <w:bCs/>
        </w:rPr>
        <w:t>If stacks are used they shall be suitably designed to prevent obstruction by rain, snow, ice, or condensate.</w:t>
      </w:r>
    </w:p>
    <w:p w:rsidR="001F6071" w:rsidRDefault="001F6071" w:rsidP="001F6071">
      <w:pPr>
        <w:ind w:left="2160" w:hanging="720"/>
        <w:rPr>
          <w:bCs/>
        </w:rPr>
      </w:pPr>
    </w:p>
    <w:p w:rsidR="001F6071" w:rsidRPr="00FB4F8F" w:rsidRDefault="001F6071" w:rsidP="001F6071">
      <w:pPr>
        <w:ind w:left="2160" w:hanging="720"/>
        <w:rPr>
          <w:bCs/>
        </w:rPr>
      </w:pPr>
      <w:r>
        <w:rPr>
          <w:bCs/>
        </w:rPr>
        <w:t>2)</w:t>
      </w:r>
      <w:r>
        <w:rPr>
          <w:bCs/>
        </w:rPr>
        <w:tab/>
      </w:r>
      <w:r w:rsidRPr="00FB4F8F">
        <w:rPr>
          <w:bCs/>
        </w:rPr>
        <w:t>The outlet size shall not be smaller than the nominal size of the pressure relief valve outlet connection.</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bb)</w:t>
      </w:r>
      <w:r>
        <w:rPr>
          <w:bCs/>
        </w:rPr>
        <w:tab/>
      </w:r>
      <w:r w:rsidRPr="00FB4F8F">
        <w:rPr>
          <w:bCs/>
        </w:rPr>
        <w:t xml:space="preserve">Discharge lines may be used if desired.  Multiple pressure relief valves on the same storage unit may be run into a common discharge header.  The discharge line and header shall be designed to accommodate the maximum flow and a back pressure not exceeding 10% of the design pressure of the storage container.  This back pressure shall be included to limit total tank pressure below 121% of the design pressure given in </w:t>
      </w:r>
      <w:r>
        <w:rPr>
          <w:bCs/>
        </w:rPr>
        <w:t>subs</w:t>
      </w:r>
      <w:r w:rsidRPr="00FB4F8F">
        <w:rPr>
          <w:bCs/>
        </w:rPr>
        <w:t>ection (v).  No other container or system shall exhaust into this discharge line or header.  The vent lines shall be installed to prevent accumulation of liquid in the lines.</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cc)</w:t>
      </w:r>
      <w:r>
        <w:rPr>
          <w:bCs/>
        </w:rPr>
        <w:tab/>
      </w:r>
      <w:r w:rsidRPr="00FB4F8F">
        <w:rPr>
          <w:bCs/>
        </w:rPr>
        <w:t xml:space="preserve">The discharge from pressure relief valves shall be vented away from the </w:t>
      </w:r>
      <w:r>
        <w:rPr>
          <w:bCs/>
        </w:rPr>
        <w:t>container</w:t>
      </w:r>
      <w:r w:rsidRPr="00FB4F8F">
        <w:rPr>
          <w:bCs/>
        </w:rPr>
        <w:t>, upward and unobstructed to the open air to an area such that persons, property, and the environment will not be harmed.  All pressure relief valves shall have suitable rain caps that will allow free discharge of the vapor and prevent the entrance of water.  Suitable provision shall be made for draining condensate that may accumulate.</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dd)</w:t>
      </w:r>
      <w:r>
        <w:rPr>
          <w:bCs/>
        </w:rPr>
        <w:tab/>
      </w:r>
      <w:r w:rsidRPr="00FB4F8F">
        <w:rPr>
          <w:bCs/>
        </w:rPr>
        <w:t>Atmospheric storage shall be provided with vacuum breakers of adequate capacity to respond to anticipated rates of liquid withdrawal and to rapid atmospheric changes so as to avoid damage to the container.  Ammonia gas may be used to provide a pad.</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ee)</w:t>
      </w:r>
      <w:r>
        <w:rPr>
          <w:bCs/>
        </w:rPr>
        <w:tab/>
      </w:r>
      <w:r w:rsidRPr="00FB4F8F">
        <w:rPr>
          <w:bCs/>
        </w:rPr>
        <w:t>Pressure relief valves used to protect other systems at refrigerated storage installations shall discharge to the open air unless connected to a control device as defined in Section 215.55.</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ff)</w:t>
      </w:r>
      <w:r>
        <w:rPr>
          <w:bCs/>
        </w:rPr>
        <w:tab/>
      </w:r>
      <w:r w:rsidRPr="00FB4F8F">
        <w:rPr>
          <w:bCs/>
        </w:rPr>
        <w:t>Because emergency venting for a double-wall refrigerated storage tank is complex, no calculation method is presented here.  A thorough analysis of the fire relief for a double-wall refrigerated storage tank should be conducted.</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gg)</w:t>
      </w:r>
      <w:r>
        <w:rPr>
          <w:bCs/>
        </w:rPr>
        <w:tab/>
      </w:r>
      <w:r w:rsidRPr="00FB4F8F">
        <w:rPr>
          <w:bCs/>
        </w:rPr>
        <w:t xml:space="preserve">Refrigerated storage containers and appurtenances shall comply with the provisions of Section 215.40.  </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hh)</w:t>
      </w:r>
      <w:r>
        <w:rPr>
          <w:bCs/>
        </w:rPr>
        <w:tab/>
      </w:r>
      <w:r w:rsidRPr="00FB4F8F">
        <w:rPr>
          <w:bCs/>
        </w:rPr>
        <w:t>Containers of such size as to require a field fabrication shall, when moved and reinstalled, be reconstructed and re-inspected in complete accordance with the original requirements under which they were constructed.  The containers shall be subjected to a pressure retest, and if re-rating is necessary, it shall be done in accordance with the applicable pressure of the original requirements.</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ii)</w:t>
      </w:r>
      <w:r>
        <w:rPr>
          <w:bCs/>
        </w:rPr>
        <w:tab/>
      </w:r>
      <w:r w:rsidRPr="00FB4F8F">
        <w:rPr>
          <w:bCs/>
        </w:rPr>
        <w:t>The total refrigeration load shall be computed as the sum of the following:</w:t>
      </w:r>
    </w:p>
    <w:p w:rsidR="001F6071" w:rsidRDefault="001F6071" w:rsidP="001F6071">
      <w:pPr>
        <w:ind w:left="2160" w:hanging="720"/>
        <w:rPr>
          <w:bCs/>
        </w:rPr>
      </w:pPr>
    </w:p>
    <w:p w:rsidR="001F6071" w:rsidRPr="00FB4F8F" w:rsidRDefault="001F6071" w:rsidP="001F6071">
      <w:pPr>
        <w:ind w:left="2160" w:hanging="720"/>
        <w:rPr>
          <w:bCs/>
        </w:rPr>
      </w:pPr>
      <w:r w:rsidRPr="00FB4F8F">
        <w:rPr>
          <w:bCs/>
        </w:rPr>
        <w:t>1)</w:t>
      </w:r>
      <w:r>
        <w:rPr>
          <w:bCs/>
        </w:rPr>
        <w:tab/>
      </w:r>
      <w:r w:rsidRPr="00FB4F8F">
        <w:rPr>
          <w:bCs/>
        </w:rPr>
        <w:t>Load imposed by heat flow into the container caused by the temperature differential between the ambient temperature and the storage temperature;</w:t>
      </w:r>
    </w:p>
    <w:p w:rsidR="001F6071" w:rsidRDefault="001F6071" w:rsidP="001F6071">
      <w:pPr>
        <w:ind w:left="2160" w:hanging="720"/>
        <w:rPr>
          <w:bCs/>
        </w:rPr>
      </w:pPr>
    </w:p>
    <w:p w:rsidR="001F6071" w:rsidRPr="00FB4F8F" w:rsidRDefault="001F6071" w:rsidP="001F6071">
      <w:pPr>
        <w:ind w:left="2160" w:hanging="720"/>
        <w:rPr>
          <w:bCs/>
        </w:rPr>
      </w:pPr>
      <w:r>
        <w:rPr>
          <w:bCs/>
        </w:rPr>
        <w:t>2)</w:t>
      </w:r>
      <w:r>
        <w:rPr>
          <w:bCs/>
        </w:rPr>
        <w:tab/>
      </w:r>
      <w:r w:rsidRPr="00FB4F8F">
        <w:rPr>
          <w:bCs/>
        </w:rPr>
        <w:t>Load imposed by heat flow into the tank caused by maximum sun radiation; and</w:t>
      </w:r>
    </w:p>
    <w:p w:rsidR="001F6071" w:rsidRDefault="001F6071" w:rsidP="001F6071">
      <w:pPr>
        <w:ind w:left="2160" w:hanging="720"/>
        <w:rPr>
          <w:bCs/>
        </w:rPr>
      </w:pPr>
    </w:p>
    <w:p w:rsidR="001F6071" w:rsidRPr="00FB4F8F" w:rsidRDefault="001F6071" w:rsidP="001F6071">
      <w:pPr>
        <w:ind w:left="2160" w:hanging="720"/>
        <w:rPr>
          <w:bCs/>
        </w:rPr>
      </w:pPr>
      <w:r w:rsidRPr="00FB4F8F">
        <w:rPr>
          <w:bCs/>
        </w:rPr>
        <w:t>3)</w:t>
      </w:r>
      <w:r>
        <w:rPr>
          <w:bCs/>
        </w:rPr>
        <w:tab/>
      </w:r>
      <w:r w:rsidRPr="00FB4F8F">
        <w:rPr>
          <w:bCs/>
        </w:rPr>
        <w:t>Maximum load imposed by filling the tank with ammonia warmer than the design storage temperature.</w:t>
      </w:r>
    </w:p>
    <w:p w:rsidR="001F6071" w:rsidRDefault="001F6071" w:rsidP="001F6071">
      <w:pPr>
        <w:ind w:firstLine="720"/>
        <w:rPr>
          <w:bCs/>
        </w:rPr>
      </w:pPr>
    </w:p>
    <w:p w:rsidR="001F6071" w:rsidRPr="00FB4F8F" w:rsidRDefault="001F6071" w:rsidP="001F6071">
      <w:pPr>
        <w:ind w:firstLine="720"/>
        <w:rPr>
          <w:bCs/>
        </w:rPr>
      </w:pPr>
      <w:r w:rsidRPr="00FB4F8F">
        <w:rPr>
          <w:bCs/>
        </w:rPr>
        <w:t>jj)</w:t>
      </w:r>
      <w:r>
        <w:rPr>
          <w:bCs/>
        </w:rPr>
        <w:tab/>
      </w:r>
      <w:r w:rsidRPr="00FB4F8F">
        <w:rPr>
          <w:bCs/>
        </w:rPr>
        <w:t>More than one storage tank may be handled by the same refrigeration system.</w:t>
      </w:r>
    </w:p>
    <w:p w:rsidR="001F6071" w:rsidRDefault="001F6071" w:rsidP="001F6071">
      <w:pPr>
        <w:ind w:left="1440" w:hanging="720"/>
        <w:rPr>
          <w:bCs/>
        </w:rPr>
      </w:pPr>
    </w:p>
    <w:p w:rsidR="001F6071" w:rsidRPr="00FB4F8F" w:rsidRDefault="001F6071" w:rsidP="001F6071">
      <w:pPr>
        <w:ind w:left="1440" w:hanging="720"/>
        <w:rPr>
          <w:bCs/>
        </w:rPr>
      </w:pPr>
      <w:r>
        <w:rPr>
          <w:bCs/>
        </w:rPr>
        <w:t>kk)</w:t>
      </w:r>
      <w:r>
        <w:rPr>
          <w:bCs/>
        </w:rPr>
        <w:tab/>
      </w:r>
      <w:r w:rsidRPr="00FB4F8F">
        <w:rPr>
          <w:bCs/>
        </w:rPr>
        <w:t xml:space="preserve">A minimum of two compressors shall be provided, either </w:t>
      </w:r>
      <w:r>
        <w:rPr>
          <w:bCs/>
        </w:rPr>
        <w:t xml:space="preserve">of </w:t>
      </w:r>
      <w:r w:rsidRPr="00FB4F8F">
        <w:rPr>
          <w:bCs/>
        </w:rPr>
        <w:t xml:space="preserve">which is of sufficient size to handle the loads listed in </w:t>
      </w:r>
      <w:r>
        <w:rPr>
          <w:bCs/>
        </w:rPr>
        <w:t>subs</w:t>
      </w:r>
      <w:r w:rsidRPr="00FB4F8F">
        <w:rPr>
          <w:bCs/>
        </w:rPr>
        <w:t>ection</w:t>
      </w:r>
      <w:r>
        <w:rPr>
          <w:bCs/>
        </w:rPr>
        <w:t>s</w:t>
      </w:r>
      <w:r w:rsidRPr="00FB4F8F">
        <w:rPr>
          <w:bCs/>
        </w:rPr>
        <w:t xml:space="preserve"> (ii)(1) and (ii)(2)</w:t>
      </w:r>
      <w:r>
        <w:rPr>
          <w:bCs/>
        </w:rPr>
        <w:t>,</w:t>
      </w:r>
      <w:r w:rsidRPr="00FB4F8F">
        <w:rPr>
          <w:bCs/>
        </w:rPr>
        <w:t xml:space="preserve"> except as provided in </w:t>
      </w:r>
      <w:r>
        <w:rPr>
          <w:bCs/>
        </w:rPr>
        <w:t xml:space="preserve">subsection </w:t>
      </w:r>
      <w:r w:rsidRPr="00FB4F8F">
        <w:rPr>
          <w:bCs/>
        </w:rPr>
        <w:t xml:space="preserve">(mm).  Where more than two compressors are provided, minimum standby equipment equal to the largest normally operating equipment shall be installed.  Compressors required for </w:t>
      </w:r>
      <w:r>
        <w:rPr>
          <w:bCs/>
        </w:rPr>
        <w:t>subs</w:t>
      </w:r>
      <w:r w:rsidRPr="00FB4F8F">
        <w:rPr>
          <w:bCs/>
        </w:rPr>
        <w:t xml:space="preserve">ection (ii)(3) may be used as standby equipment for compressors required in </w:t>
      </w:r>
      <w:r>
        <w:rPr>
          <w:bCs/>
        </w:rPr>
        <w:t>subsections</w:t>
      </w:r>
      <w:r w:rsidRPr="00FB4F8F">
        <w:rPr>
          <w:bCs/>
        </w:rPr>
        <w:t xml:space="preserve"> (ii)(1) and (ii)(2).</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ll)</w:t>
      </w:r>
      <w:r>
        <w:rPr>
          <w:bCs/>
        </w:rPr>
        <w:tab/>
      </w:r>
      <w:r w:rsidRPr="00FB4F8F">
        <w:rPr>
          <w:bCs/>
        </w:rPr>
        <w:t>Compressors shall be sized to operate with a suction pressure at least 10% below the minimum setting of the pressure relief valves on the storage tank and shall withstand a suction pressure at least equal to 121% of the design pressure of the tank.  Discharge pressure will be governed by condensing conditions.</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mm)</w:t>
      </w:r>
      <w:r>
        <w:rPr>
          <w:bCs/>
        </w:rPr>
        <w:tab/>
      </w:r>
      <w:r w:rsidRPr="00FB4F8F">
        <w:rPr>
          <w:bCs/>
        </w:rPr>
        <w:t xml:space="preserve">Where facilities are provided to safely dispose of vented vapor to an automatic flare or to a process unit, a single compressor of sufficient size to handle the load listed in </w:t>
      </w:r>
      <w:r>
        <w:rPr>
          <w:bCs/>
        </w:rPr>
        <w:t>subs</w:t>
      </w:r>
      <w:r w:rsidRPr="00FB4F8F">
        <w:rPr>
          <w:bCs/>
        </w:rPr>
        <w:t>ection</w:t>
      </w:r>
      <w:r>
        <w:rPr>
          <w:bCs/>
        </w:rPr>
        <w:t>s</w:t>
      </w:r>
      <w:r w:rsidRPr="00FB4F8F">
        <w:rPr>
          <w:bCs/>
        </w:rPr>
        <w:t xml:space="preserve"> (ii)(1) and (ii)(2) shall be allowed.</w:t>
      </w:r>
    </w:p>
    <w:p w:rsidR="001F6071" w:rsidRDefault="001F6071" w:rsidP="001F6071">
      <w:pPr>
        <w:ind w:firstLine="720"/>
        <w:rPr>
          <w:bCs/>
        </w:rPr>
      </w:pPr>
    </w:p>
    <w:p w:rsidR="001F6071" w:rsidRPr="00FB4F8F" w:rsidRDefault="001F6071" w:rsidP="001F6071">
      <w:pPr>
        <w:ind w:firstLine="720"/>
        <w:rPr>
          <w:bCs/>
        </w:rPr>
      </w:pPr>
      <w:r w:rsidRPr="00FB4F8F">
        <w:rPr>
          <w:bCs/>
        </w:rPr>
        <w:t>nn)</w:t>
      </w:r>
      <w:r>
        <w:rPr>
          <w:bCs/>
        </w:rPr>
        <w:tab/>
      </w:r>
      <w:r w:rsidRPr="00FB4F8F">
        <w:rPr>
          <w:bCs/>
        </w:rPr>
        <w:t>Each compressor shall have its own drive unit.</w:t>
      </w:r>
    </w:p>
    <w:p w:rsidR="001F6071" w:rsidRDefault="001F6071" w:rsidP="001F6071">
      <w:pPr>
        <w:ind w:firstLine="720"/>
        <w:rPr>
          <w:bCs/>
        </w:rPr>
      </w:pPr>
    </w:p>
    <w:p w:rsidR="001F6071" w:rsidRPr="00FB4F8F" w:rsidRDefault="001F6071" w:rsidP="001F6071">
      <w:pPr>
        <w:ind w:firstLine="720"/>
        <w:rPr>
          <w:bCs/>
        </w:rPr>
      </w:pPr>
      <w:r w:rsidRPr="00FB4F8F">
        <w:rPr>
          <w:bCs/>
        </w:rPr>
        <w:t>oo)</w:t>
      </w:r>
      <w:r>
        <w:rPr>
          <w:bCs/>
        </w:rPr>
        <w:tab/>
      </w:r>
      <w:r w:rsidRPr="00FB4F8F">
        <w:rPr>
          <w:bCs/>
        </w:rPr>
        <w:t>Any standard drive consistent with good design may be used.</w:t>
      </w:r>
    </w:p>
    <w:p w:rsidR="001F6071" w:rsidRDefault="001F6071" w:rsidP="001F6071">
      <w:pPr>
        <w:ind w:left="1440" w:hanging="720"/>
        <w:rPr>
          <w:bCs/>
        </w:rPr>
      </w:pPr>
    </w:p>
    <w:p w:rsidR="001F6071" w:rsidRPr="00FB4F8F" w:rsidRDefault="001F6071" w:rsidP="001F6071">
      <w:pPr>
        <w:ind w:left="1440" w:hanging="720"/>
        <w:rPr>
          <w:bCs/>
        </w:rPr>
      </w:pPr>
      <w:r>
        <w:rPr>
          <w:bCs/>
        </w:rPr>
        <w:t>pp)</w:t>
      </w:r>
      <w:r>
        <w:rPr>
          <w:bCs/>
        </w:rPr>
        <w:tab/>
      </w:r>
      <w:r w:rsidRPr="00FB4F8F">
        <w:rPr>
          <w:bCs/>
        </w:rPr>
        <w:t xml:space="preserve">An emergency source of power of sufficient capacity to handle the loads listed in </w:t>
      </w:r>
      <w:r>
        <w:rPr>
          <w:bCs/>
        </w:rPr>
        <w:t>subs</w:t>
      </w:r>
      <w:r w:rsidRPr="00FB4F8F">
        <w:rPr>
          <w:bCs/>
        </w:rPr>
        <w:t>ection</w:t>
      </w:r>
      <w:r>
        <w:rPr>
          <w:bCs/>
        </w:rPr>
        <w:t>s</w:t>
      </w:r>
      <w:r w:rsidRPr="00FB4F8F">
        <w:rPr>
          <w:bCs/>
        </w:rPr>
        <w:t xml:space="preserve"> (ii)(1) and (ii)(2) shall be provided unless facilities are provided to safely dispose of vented vapors while the refrigeration system is not operating.</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qq)</w:t>
      </w:r>
      <w:r>
        <w:rPr>
          <w:bCs/>
        </w:rPr>
        <w:tab/>
      </w:r>
      <w:r w:rsidRPr="00FB4F8F">
        <w:rPr>
          <w:bCs/>
        </w:rPr>
        <w:t>The refrigeration system shall be arranged with suitable controls to govern the compressor operation in accordance with the load as evidenced by the pressure in the containers.</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rr)</w:t>
      </w:r>
      <w:r>
        <w:rPr>
          <w:bCs/>
        </w:rPr>
        <w:tab/>
      </w:r>
      <w:r w:rsidRPr="00FB4F8F">
        <w:rPr>
          <w:bCs/>
        </w:rPr>
        <w:t>An emergency alarm system shall be installed to function in the event the pressure in the containers rises to the maximum or falls to the minimum allowable operating pressure.</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ss)</w:t>
      </w:r>
      <w:r>
        <w:rPr>
          <w:bCs/>
        </w:rPr>
        <w:tab/>
      </w:r>
      <w:r w:rsidRPr="00FB4F8F">
        <w:rPr>
          <w:bCs/>
        </w:rPr>
        <w:t>An emergency alarm and shutoff shall be located in the condenser system to respond to excess discharge pressure caused by failure of the cooling medium.</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tt)</w:t>
      </w:r>
      <w:r>
        <w:rPr>
          <w:bCs/>
        </w:rPr>
        <w:tab/>
      </w:r>
      <w:r w:rsidRPr="00FB4F8F">
        <w:rPr>
          <w:bCs/>
        </w:rPr>
        <w:t>All automatic controls shall be installed in a manner to preclude operation of alternate compressors unless the controls will function with the alternate compressors.</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uu)</w:t>
      </w:r>
      <w:r>
        <w:rPr>
          <w:bCs/>
        </w:rPr>
        <w:tab/>
      </w:r>
      <w:r w:rsidRPr="00FB4F8F">
        <w:rPr>
          <w:bCs/>
        </w:rPr>
        <w:t>An entrainment separator of suitable size and design pressure shall be installed in the compressor suction line.  The separator shall be equipped with a drain and gauging device.  A maximum liquid level control with alarm should be installed.</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vv)</w:t>
      </w:r>
      <w:r>
        <w:rPr>
          <w:bCs/>
        </w:rPr>
        <w:tab/>
      </w:r>
      <w:r w:rsidRPr="00FB4F8F">
        <w:rPr>
          <w:bCs/>
        </w:rPr>
        <w:t>An oil separator of suitable size shall be installed in the compressor discharge line.  It shall be designed for at least 250 psig and shall be equipped with a gauging device and drain valve.  A maximum oil level control with alarm should be installed.</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ww)</w:t>
      </w:r>
      <w:r>
        <w:rPr>
          <w:bCs/>
        </w:rPr>
        <w:tab/>
      </w:r>
      <w:r w:rsidRPr="00FB4F8F">
        <w:rPr>
          <w:bCs/>
        </w:rPr>
        <w:t>A separator shall be equipped with a pressure relief valve if the separator can be isolated with shutoff valves.</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xx)</w:t>
      </w:r>
      <w:r>
        <w:rPr>
          <w:bCs/>
        </w:rPr>
        <w:tab/>
      </w:r>
      <w:r w:rsidRPr="00FB4F8F">
        <w:rPr>
          <w:bCs/>
        </w:rPr>
        <w:t>The condenser system may be cooled by air or water or both.  The condenser shall be designed for at least 250 psig.  Provision shall be made for purging noncondensibles either manually or automatically.</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yy)</w:t>
      </w:r>
      <w:r>
        <w:rPr>
          <w:bCs/>
        </w:rPr>
        <w:tab/>
      </w:r>
      <w:r w:rsidRPr="00FB4F8F">
        <w:rPr>
          <w:bCs/>
        </w:rPr>
        <w:t>The condenser shall be equipped with a pressure relief valve if the condenser can be isolated with shutoff valves.</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zz)</w:t>
      </w:r>
      <w:r>
        <w:rPr>
          <w:bCs/>
        </w:rPr>
        <w:tab/>
      </w:r>
      <w:r w:rsidRPr="00FB4F8F">
        <w:rPr>
          <w:bCs/>
        </w:rPr>
        <w:t>A condenser effluent receiver shall be provided that is equipped with automatic level controls and valving designed to discharge the liquid ammonia to storage, or with a high-pressure liquid drain trap of suitable capacity.  The receiver shall be designed for at least 250 psig operating pressure and be equipped with the necessary connections, pressure relief valves, and gauging device.</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aaa)</w:t>
      </w:r>
      <w:r>
        <w:rPr>
          <w:bCs/>
        </w:rPr>
        <w:tab/>
      </w:r>
      <w:r w:rsidRPr="00FB4F8F">
        <w:rPr>
          <w:bCs/>
        </w:rPr>
        <w:t>Refrigerated containers and pipeline that are insulated shall be covered with a material of suitable quality and thickness for the temperatures encountered.  Insulation shall be suitably supported and protected against the weather.  Weatherproofing and insulation shall be of a type that will not support flame propagation and will not cause corrosion when wet.</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bbb)</w:t>
      </w:r>
      <w:r>
        <w:rPr>
          <w:bCs/>
        </w:rPr>
        <w:tab/>
      </w:r>
      <w:r w:rsidRPr="00FB4F8F">
        <w:rPr>
          <w:bCs/>
        </w:rPr>
        <w:t xml:space="preserve">Each refrigerated storage installation shall have on hand the minimum safety </w:t>
      </w:r>
      <w:r>
        <w:rPr>
          <w:bCs/>
        </w:rPr>
        <w:t>equipment required in Section 215.20.</w:t>
      </w:r>
    </w:p>
    <w:p w:rsidR="001F6071" w:rsidRDefault="001F6071" w:rsidP="001F6071">
      <w:pPr>
        <w:ind w:left="1440" w:hanging="720"/>
        <w:rPr>
          <w:bCs/>
        </w:rPr>
      </w:pPr>
    </w:p>
    <w:p w:rsidR="001F6071" w:rsidRPr="00FB4F8F" w:rsidRDefault="001F6071" w:rsidP="001F6071">
      <w:pPr>
        <w:ind w:left="1440" w:hanging="720"/>
        <w:rPr>
          <w:bCs/>
        </w:rPr>
      </w:pPr>
      <w:r w:rsidRPr="00FB4F8F">
        <w:rPr>
          <w:bCs/>
        </w:rPr>
        <w:t>ccc)</w:t>
      </w:r>
      <w:r>
        <w:rPr>
          <w:bCs/>
        </w:rPr>
        <w:tab/>
      </w:r>
      <w:r w:rsidRPr="00FB4F8F">
        <w:rPr>
          <w:bCs/>
        </w:rPr>
        <w:t>In addition to the safety equipment requirement in Section 215.20, each refrigerated storage installation shall have on hand at least two independently supplied, positive-pressure SCBAs and at least two approved encapsulating corrosive chemical suits that are impervious to ammonia.  Each shall be designed to accommodate an SCBA.</w:t>
      </w:r>
    </w:p>
    <w:p w:rsidR="001F6071" w:rsidRDefault="001F6071" w:rsidP="001F6071">
      <w:pPr>
        <w:widowControl w:val="0"/>
        <w:ind w:left="1440" w:hanging="720"/>
        <w:rPr>
          <w:bCs/>
        </w:rPr>
      </w:pPr>
    </w:p>
    <w:p w:rsidR="001F6071" w:rsidRPr="00FB4F8F" w:rsidRDefault="001F6071" w:rsidP="001F6071">
      <w:pPr>
        <w:widowControl w:val="0"/>
        <w:ind w:left="1440" w:hanging="720"/>
        <w:rPr>
          <w:bCs/>
        </w:rPr>
      </w:pPr>
      <w:r w:rsidRPr="00FB4F8F">
        <w:rPr>
          <w:bCs/>
        </w:rPr>
        <w:t>ddd)</w:t>
      </w:r>
      <w:r>
        <w:rPr>
          <w:bCs/>
        </w:rPr>
        <w:tab/>
      </w:r>
      <w:r w:rsidRPr="00FB4F8F">
        <w:rPr>
          <w:bCs/>
        </w:rPr>
        <w:t>A sign with letters of a minimum height of two inches giving the name and telephone number</w:t>
      </w:r>
      <w:r>
        <w:rPr>
          <w:bCs/>
        </w:rPr>
        <w:t>,</w:t>
      </w:r>
      <w:r w:rsidRPr="00FB4F8F">
        <w:rPr>
          <w:bCs/>
        </w:rPr>
        <w:t xml:space="preserve"> including area code</w:t>
      </w:r>
      <w:r>
        <w:rPr>
          <w:bCs/>
        </w:rPr>
        <w:t>,</w:t>
      </w:r>
      <w:r w:rsidRPr="00FB4F8F">
        <w:rPr>
          <w:bCs/>
        </w:rPr>
        <w:t xml:space="preserve"> of owner, manager or agent of the anhydrous ammonia storage location shall appear at the site entrances to the property or apart from the storage tanks.</w:t>
      </w:r>
    </w:p>
    <w:p w:rsidR="001F6071" w:rsidRDefault="001F6071" w:rsidP="001F6071">
      <w:pPr>
        <w:widowControl w:val="0"/>
        <w:autoSpaceDE w:val="0"/>
        <w:autoSpaceDN w:val="0"/>
        <w:adjustRightInd w:val="0"/>
      </w:pPr>
    </w:p>
    <w:p w:rsidR="001F6071" w:rsidRDefault="001F6071" w:rsidP="001F6071">
      <w:pPr>
        <w:pStyle w:val="JCARSourceNote"/>
        <w:ind w:firstLine="720"/>
      </w:pPr>
      <w:r>
        <w:t xml:space="preserve">(Source:  Amended at 27 </w:t>
      </w:r>
      <w:smartTag w:uri="urn:schemas-microsoft-com:office:smarttags" w:element="place">
        <w:smartTag w:uri="urn:schemas-microsoft-com:office:smarttags" w:element="State">
          <w:r>
            <w:t>Ill.</w:t>
          </w:r>
        </w:smartTag>
      </w:smartTag>
      <w:r>
        <w:t xml:space="preserve"> Reg. 9922, effective </w:t>
      </w:r>
      <w:smartTag w:uri="urn:schemas-microsoft-com:office:smarttags" w:element="date">
        <w:smartTagPr>
          <w:attr w:name="ls" w:val="trans"/>
          <w:attr w:name="Month" w:val="7"/>
          <w:attr w:name="Day" w:val="1"/>
          <w:attr w:name="Year" w:val="2003"/>
        </w:smartTagPr>
        <w:r>
          <w:t>July 1, 2003</w:t>
        </w:r>
      </w:smartTag>
      <w:r>
        <w:t>)</w:t>
      </w:r>
    </w:p>
    <w:sectPr w:rsidR="001F607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1C" w:rsidRDefault="004A751C">
      <w:r>
        <w:separator/>
      </w:r>
    </w:p>
  </w:endnote>
  <w:endnote w:type="continuationSeparator" w:id="0">
    <w:p w:rsidR="004A751C" w:rsidRDefault="004A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1C" w:rsidRDefault="004A751C">
      <w:r>
        <w:separator/>
      </w:r>
    </w:p>
  </w:footnote>
  <w:footnote w:type="continuationSeparator" w:id="0">
    <w:p w:rsidR="004A751C" w:rsidRDefault="004A7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6071"/>
    <w:rsid w:val="00000308"/>
    <w:rsid w:val="00001F1D"/>
    <w:rsid w:val="0000236B"/>
    <w:rsid w:val="00002D22"/>
    <w:rsid w:val="00003B08"/>
    <w:rsid w:val="000041A8"/>
    <w:rsid w:val="00004365"/>
    <w:rsid w:val="00004ACE"/>
    <w:rsid w:val="00006D92"/>
    <w:rsid w:val="00007D52"/>
    <w:rsid w:val="00012A3F"/>
    <w:rsid w:val="000134B9"/>
    <w:rsid w:val="00015911"/>
    <w:rsid w:val="000201B0"/>
    <w:rsid w:val="000206B8"/>
    <w:rsid w:val="000209C0"/>
    <w:rsid w:val="00020C0B"/>
    <w:rsid w:val="0002173A"/>
    <w:rsid w:val="00021971"/>
    <w:rsid w:val="00021ED9"/>
    <w:rsid w:val="00023424"/>
    <w:rsid w:val="00023480"/>
    <w:rsid w:val="00024521"/>
    <w:rsid w:val="0002588C"/>
    <w:rsid w:val="00025B74"/>
    <w:rsid w:val="000276BD"/>
    <w:rsid w:val="0002776E"/>
    <w:rsid w:val="000300A2"/>
    <w:rsid w:val="00030823"/>
    <w:rsid w:val="0003189B"/>
    <w:rsid w:val="00031AC4"/>
    <w:rsid w:val="00033A59"/>
    <w:rsid w:val="0003663F"/>
    <w:rsid w:val="000367B1"/>
    <w:rsid w:val="000370B6"/>
    <w:rsid w:val="000406AA"/>
    <w:rsid w:val="000415E1"/>
    <w:rsid w:val="00043F41"/>
    <w:rsid w:val="00045337"/>
    <w:rsid w:val="00045972"/>
    <w:rsid w:val="00045C6B"/>
    <w:rsid w:val="00047B1F"/>
    <w:rsid w:val="00051574"/>
    <w:rsid w:val="00051826"/>
    <w:rsid w:val="00052133"/>
    <w:rsid w:val="00052661"/>
    <w:rsid w:val="00052F17"/>
    <w:rsid w:val="00054233"/>
    <w:rsid w:val="0005477B"/>
    <w:rsid w:val="00054D3E"/>
    <w:rsid w:val="00056E93"/>
    <w:rsid w:val="0005793E"/>
    <w:rsid w:val="00060237"/>
    <w:rsid w:val="000610FA"/>
    <w:rsid w:val="00062653"/>
    <w:rsid w:val="0006339F"/>
    <w:rsid w:val="000638E8"/>
    <w:rsid w:val="000657D6"/>
    <w:rsid w:val="00066BB7"/>
    <w:rsid w:val="00066E3D"/>
    <w:rsid w:val="00067049"/>
    <w:rsid w:val="00067BE3"/>
    <w:rsid w:val="00070D27"/>
    <w:rsid w:val="000726FA"/>
    <w:rsid w:val="00074368"/>
    <w:rsid w:val="000759AF"/>
    <w:rsid w:val="00077569"/>
    <w:rsid w:val="00077979"/>
    <w:rsid w:val="00077A7D"/>
    <w:rsid w:val="00077CD5"/>
    <w:rsid w:val="00080F8A"/>
    <w:rsid w:val="00082CF5"/>
    <w:rsid w:val="000849B9"/>
    <w:rsid w:val="000868B1"/>
    <w:rsid w:val="00087C46"/>
    <w:rsid w:val="00091167"/>
    <w:rsid w:val="00091C6E"/>
    <w:rsid w:val="00093EE8"/>
    <w:rsid w:val="000943C4"/>
    <w:rsid w:val="00094B98"/>
    <w:rsid w:val="000969DC"/>
    <w:rsid w:val="00096A2B"/>
    <w:rsid w:val="00097B01"/>
    <w:rsid w:val="00097E65"/>
    <w:rsid w:val="00097E6B"/>
    <w:rsid w:val="000A24DB"/>
    <w:rsid w:val="000A3552"/>
    <w:rsid w:val="000A4D81"/>
    <w:rsid w:val="000A61E0"/>
    <w:rsid w:val="000A7B4B"/>
    <w:rsid w:val="000A7BAA"/>
    <w:rsid w:val="000B3564"/>
    <w:rsid w:val="000B5B31"/>
    <w:rsid w:val="000B5E4B"/>
    <w:rsid w:val="000B6019"/>
    <w:rsid w:val="000B69C7"/>
    <w:rsid w:val="000B7E2A"/>
    <w:rsid w:val="000C040A"/>
    <w:rsid w:val="000C0895"/>
    <w:rsid w:val="000C0E33"/>
    <w:rsid w:val="000C63C2"/>
    <w:rsid w:val="000C72F5"/>
    <w:rsid w:val="000C7B7A"/>
    <w:rsid w:val="000D225F"/>
    <w:rsid w:val="000D40D4"/>
    <w:rsid w:val="000D4A8E"/>
    <w:rsid w:val="000D4E55"/>
    <w:rsid w:val="000D56F6"/>
    <w:rsid w:val="000D7489"/>
    <w:rsid w:val="000E08CB"/>
    <w:rsid w:val="000E1229"/>
    <w:rsid w:val="000E2D57"/>
    <w:rsid w:val="000E3DEC"/>
    <w:rsid w:val="000E3FB6"/>
    <w:rsid w:val="000E4078"/>
    <w:rsid w:val="000E447E"/>
    <w:rsid w:val="000E52D0"/>
    <w:rsid w:val="000E7D57"/>
    <w:rsid w:val="000F1526"/>
    <w:rsid w:val="000F18D8"/>
    <w:rsid w:val="000F20A5"/>
    <w:rsid w:val="000F30CB"/>
    <w:rsid w:val="000F45ED"/>
    <w:rsid w:val="000F4845"/>
    <w:rsid w:val="000F5701"/>
    <w:rsid w:val="000F7D03"/>
    <w:rsid w:val="0010160B"/>
    <w:rsid w:val="001028A9"/>
    <w:rsid w:val="0010456D"/>
    <w:rsid w:val="00104B81"/>
    <w:rsid w:val="0010657D"/>
    <w:rsid w:val="001077AC"/>
    <w:rsid w:val="00107B5A"/>
    <w:rsid w:val="001107C0"/>
    <w:rsid w:val="00112F7B"/>
    <w:rsid w:val="00113069"/>
    <w:rsid w:val="00114190"/>
    <w:rsid w:val="00114A9F"/>
    <w:rsid w:val="00115922"/>
    <w:rsid w:val="00116479"/>
    <w:rsid w:val="00116A85"/>
    <w:rsid w:val="00116BDC"/>
    <w:rsid w:val="001221F0"/>
    <w:rsid w:val="0012221A"/>
    <w:rsid w:val="00122A47"/>
    <w:rsid w:val="00122FF1"/>
    <w:rsid w:val="00124B90"/>
    <w:rsid w:val="001323F5"/>
    <w:rsid w:val="001338DD"/>
    <w:rsid w:val="00134A09"/>
    <w:rsid w:val="00134D0B"/>
    <w:rsid w:val="0013527B"/>
    <w:rsid w:val="00135D52"/>
    <w:rsid w:val="0013751F"/>
    <w:rsid w:val="00137773"/>
    <w:rsid w:val="0014002E"/>
    <w:rsid w:val="001416D2"/>
    <w:rsid w:val="001422BB"/>
    <w:rsid w:val="001436CE"/>
    <w:rsid w:val="00146B3C"/>
    <w:rsid w:val="00146C40"/>
    <w:rsid w:val="0014751F"/>
    <w:rsid w:val="00150700"/>
    <w:rsid w:val="001550B2"/>
    <w:rsid w:val="00155217"/>
    <w:rsid w:val="001557E2"/>
    <w:rsid w:val="00155905"/>
    <w:rsid w:val="00155ED9"/>
    <w:rsid w:val="00156DFE"/>
    <w:rsid w:val="00156E58"/>
    <w:rsid w:val="00157616"/>
    <w:rsid w:val="00161093"/>
    <w:rsid w:val="00162D37"/>
    <w:rsid w:val="0016301C"/>
    <w:rsid w:val="00163DB6"/>
    <w:rsid w:val="00164378"/>
    <w:rsid w:val="00164576"/>
    <w:rsid w:val="001654EC"/>
    <w:rsid w:val="00167C0E"/>
    <w:rsid w:val="00167C0F"/>
    <w:rsid w:val="00170114"/>
    <w:rsid w:val="0017011B"/>
    <w:rsid w:val="00171825"/>
    <w:rsid w:val="00171891"/>
    <w:rsid w:val="00175735"/>
    <w:rsid w:val="00175AA4"/>
    <w:rsid w:val="00176035"/>
    <w:rsid w:val="001763F7"/>
    <w:rsid w:val="0017731D"/>
    <w:rsid w:val="00177336"/>
    <w:rsid w:val="001802F9"/>
    <w:rsid w:val="001846BF"/>
    <w:rsid w:val="0018585E"/>
    <w:rsid w:val="00185CAA"/>
    <w:rsid w:val="00186C32"/>
    <w:rsid w:val="00187E63"/>
    <w:rsid w:val="00190625"/>
    <w:rsid w:val="00191428"/>
    <w:rsid w:val="00192496"/>
    <w:rsid w:val="00193279"/>
    <w:rsid w:val="00193AE6"/>
    <w:rsid w:val="00196B55"/>
    <w:rsid w:val="001A04CE"/>
    <w:rsid w:val="001A0F6B"/>
    <w:rsid w:val="001A4E87"/>
    <w:rsid w:val="001A4E94"/>
    <w:rsid w:val="001A5F34"/>
    <w:rsid w:val="001A632F"/>
    <w:rsid w:val="001A6351"/>
    <w:rsid w:val="001A7042"/>
    <w:rsid w:val="001B15C3"/>
    <w:rsid w:val="001B37BB"/>
    <w:rsid w:val="001B3D60"/>
    <w:rsid w:val="001B4441"/>
    <w:rsid w:val="001B4E49"/>
    <w:rsid w:val="001B6D0C"/>
    <w:rsid w:val="001B7CE7"/>
    <w:rsid w:val="001B7E7C"/>
    <w:rsid w:val="001C03BD"/>
    <w:rsid w:val="001C319D"/>
    <w:rsid w:val="001C3DC0"/>
    <w:rsid w:val="001C4CFD"/>
    <w:rsid w:val="001C717E"/>
    <w:rsid w:val="001C71C2"/>
    <w:rsid w:val="001C74E9"/>
    <w:rsid w:val="001C7801"/>
    <w:rsid w:val="001C7D95"/>
    <w:rsid w:val="001D0054"/>
    <w:rsid w:val="001D1873"/>
    <w:rsid w:val="001D2451"/>
    <w:rsid w:val="001D415D"/>
    <w:rsid w:val="001D7AC0"/>
    <w:rsid w:val="001E15FE"/>
    <w:rsid w:val="001E3074"/>
    <w:rsid w:val="001E326F"/>
    <w:rsid w:val="001E3CD0"/>
    <w:rsid w:val="001E4AA4"/>
    <w:rsid w:val="001E4BE8"/>
    <w:rsid w:val="001E5A40"/>
    <w:rsid w:val="001E5CEE"/>
    <w:rsid w:val="001E6D82"/>
    <w:rsid w:val="001E740F"/>
    <w:rsid w:val="001F22FF"/>
    <w:rsid w:val="001F572B"/>
    <w:rsid w:val="001F6029"/>
    <w:rsid w:val="001F6071"/>
    <w:rsid w:val="001F60C4"/>
    <w:rsid w:val="001F6118"/>
    <w:rsid w:val="002012DB"/>
    <w:rsid w:val="00201464"/>
    <w:rsid w:val="00203431"/>
    <w:rsid w:val="00203B9E"/>
    <w:rsid w:val="00206275"/>
    <w:rsid w:val="0020789C"/>
    <w:rsid w:val="00207D79"/>
    <w:rsid w:val="00213040"/>
    <w:rsid w:val="002133B1"/>
    <w:rsid w:val="00213971"/>
    <w:rsid w:val="0021407D"/>
    <w:rsid w:val="00214375"/>
    <w:rsid w:val="00216154"/>
    <w:rsid w:val="002209C0"/>
    <w:rsid w:val="002218C4"/>
    <w:rsid w:val="00221A53"/>
    <w:rsid w:val="002232BD"/>
    <w:rsid w:val="00224FF8"/>
    <w:rsid w:val="00225354"/>
    <w:rsid w:val="00231277"/>
    <w:rsid w:val="0023173C"/>
    <w:rsid w:val="0023455C"/>
    <w:rsid w:val="0023652F"/>
    <w:rsid w:val="0023731A"/>
    <w:rsid w:val="00237AE3"/>
    <w:rsid w:val="00240EC8"/>
    <w:rsid w:val="002432F7"/>
    <w:rsid w:val="00243CE9"/>
    <w:rsid w:val="0024413B"/>
    <w:rsid w:val="00244A25"/>
    <w:rsid w:val="00245AAA"/>
    <w:rsid w:val="00247594"/>
    <w:rsid w:val="002524EC"/>
    <w:rsid w:val="00253D37"/>
    <w:rsid w:val="00253D8C"/>
    <w:rsid w:val="00254AD0"/>
    <w:rsid w:val="002566E9"/>
    <w:rsid w:val="00260F56"/>
    <w:rsid w:val="00261288"/>
    <w:rsid w:val="00261293"/>
    <w:rsid w:val="00261A02"/>
    <w:rsid w:val="002627A9"/>
    <w:rsid w:val="002659A0"/>
    <w:rsid w:val="002670D2"/>
    <w:rsid w:val="00267D96"/>
    <w:rsid w:val="002704E4"/>
    <w:rsid w:val="002709C7"/>
    <w:rsid w:val="00270FBC"/>
    <w:rsid w:val="00271159"/>
    <w:rsid w:val="00271FAA"/>
    <w:rsid w:val="00274091"/>
    <w:rsid w:val="00276A68"/>
    <w:rsid w:val="00276CF8"/>
    <w:rsid w:val="00277D95"/>
    <w:rsid w:val="002811C8"/>
    <w:rsid w:val="00282470"/>
    <w:rsid w:val="00282767"/>
    <w:rsid w:val="002831EA"/>
    <w:rsid w:val="00283B63"/>
    <w:rsid w:val="00284B47"/>
    <w:rsid w:val="0028509C"/>
    <w:rsid w:val="00286EB4"/>
    <w:rsid w:val="002870F4"/>
    <w:rsid w:val="002909D4"/>
    <w:rsid w:val="00290ABA"/>
    <w:rsid w:val="002914CE"/>
    <w:rsid w:val="00291B89"/>
    <w:rsid w:val="0029203E"/>
    <w:rsid w:val="00293AA1"/>
    <w:rsid w:val="002943EC"/>
    <w:rsid w:val="0029466F"/>
    <w:rsid w:val="00295F39"/>
    <w:rsid w:val="00296138"/>
    <w:rsid w:val="002967E9"/>
    <w:rsid w:val="00296D0B"/>
    <w:rsid w:val="00297215"/>
    <w:rsid w:val="002A14C5"/>
    <w:rsid w:val="002A4340"/>
    <w:rsid w:val="002A4A0B"/>
    <w:rsid w:val="002A53E2"/>
    <w:rsid w:val="002A643F"/>
    <w:rsid w:val="002A6BE5"/>
    <w:rsid w:val="002A71E8"/>
    <w:rsid w:val="002A77EE"/>
    <w:rsid w:val="002A783C"/>
    <w:rsid w:val="002A7FC8"/>
    <w:rsid w:val="002B1C88"/>
    <w:rsid w:val="002B3C36"/>
    <w:rsid w:val="002B5B99"/>
    <w:rsid w:val="002B6509"/>
    <w:rsid w:val="002C13D1"/>
    <w:rsid w:val="002C38B2"/>
    <w:rsid w:val="002C3A69"/>
    <w:rsid w:val="002C4753"/>
    <w:rsid w:val="002C60A2"/>
    <w:rsid w:val="002C79E3"/>
    <w:rsid w:val="002D0067"/>
    <w:rsid w:val="002D00F7"/>
    <w:rsid w:val="002D0541"/>
    <w:rsid w:val="002D17C2"/>
    <w:rsid w:val="002D1801"/>
    <w:rsid w:val="002D1EF3"/>
    <w:rsid w:val="002D2552"/>
    <w:rsid w:val="002D3136"/>
    <w:rsid w:val="002D3C4D"/>
    <w:rsid w:val="002D569F"/>
    <w:rsid w:val="002D5E76"/>
    <w:rsid w:val="002D65CE"/>
    <w:rsid w:val="002D71C2"/>
    <w:rsid w:val="002D74C6"/>
    <w:rsid w:val="002E0D36"/>
    <w:rsid w:val="002E2EBE"/>
    <w:rsid w:val="002E33DA"/>
    <w:rsid w:val="002E4610"/>
    <w:rsid w:val="002E5B55"/>
    <w:rsid w:val="002F1D23"/>
    <w:rsid w:val="002F22A0"/>
    <w:rsid w:val="002F391F"/>
    <w:rsid w:val="002F4ACB"/>
    <w:rsid w:val="002F52C4"/>
    <w:rsid w:val="002F702D"/>
    <w:rsid w:val="002F72DA"/>
    <w:rsid w:val="002F733F"/>
    <w:rsid w:val="002F7EF7"/>
    <w:rsid w:val="003009EA"/>
    <w:rsid w:val="0030202D"/>
    <w:rsid w:val="003029BD"/>
    <w:rsid w:val="00304005"/>
    <w:rsid w:val="00305864"/>
    <w:rsid w:val="00305953"/>
    <w:rsid w:val="003064B1"/>
    <w:rsid w:val="003068DC"/>
    <w:rsid w:val="0031045F"/>
    <w:rsid w:val="00310BDF"/>
    <w:rsid w:val="00313EEF"/>
    <w:rsid w:val="00314AF2"/>
    <w:rsid w:val="00315191"/>
    <w:rsid w:val="00315B0C"/>
    <w:rsid w:val="00315C60"/>
    <w:rsid w:val="00320774"/>
    <w:rsid w:val="00320955"/>
    <w:rsid w:val="00322FE7"/>
    <w:rsid w:val="00323CAD"/>
    <w:rsid w:val="00324184"/>
    <w:rsid w:val="0032671F"/>
    <w:rsid w:val="00327236"/>
    <w:rsid w:val="00333981"/>
    <w:rsid w:val="00333BBF"/>
    <w:rsid w:val="00334059"/>
    <w:rsid w:val="00334335"/>
    <w:rsid w:val="003357BA"/>
    <w:rsid w:val="00336896"/>
    <w:rsid w:val="00336D8B"/>
    <w:rsid w:val="00337123"/>
    <w:rsid w:val="00337BB9"/>
    <w:rsid w:val="00337C69"/>
    <w:rsid w:val="00337CEB"/>
    <w:rsid w:val="00343EEE"/>
    <w:rsid w:val="00345BCC"/>
    <w:rsid w:val="0034754A"/>
    <w:rsid w:val="0035023E"/>
    <w:rsid w:val="00350FF5"/>
    <w:rsid w:val="003514AB"/>
    <w:rsid w:val="00352E1C"/>
    <w:rsid w:val="00356831"/>
    <w:rsid w:val="00356E7E"/>
    <w:rsid w:val="00357DE2"/>
    <w:rsid w:val="00360E86"/>
    <w:rsid w:val="0036162C"/>
    <w:rsid w:val="0036199B"/>
    <w:rsid w:val="003622E0"/>
    <w:rsid w:val="00362EFC"/>
    <w:rsid w:val="003638F8"/>
    <w:rsid w:val="003665A3"/>
    <w:rsid w:val="00367511"/>
    <w:rsid w:val="0036785B"/>
    <w:rsid w:val="00367A2E"/>
    <w:rsid w:val="00367DA6"/>
    <w:rsid w:val="00370773"/>
    <w:rsid w:val="00370982"/>
    <w:rsid w:val="00370A58"/>
    <w:rsid w:val="00370EEB"/>
    <w:rsid w:val="003712D3"/>
    <w:rsid w:val="00371620"/>
    <w:rsid w:val="003716B5"/>
    <w:rsid w:val="003732E6"/>
    <w:rsid w:val="00374780"/>
    <w:rsid w:val="00376402"/>
    <w:rsid w:val="00376522"/>
    <w:rsid w:val="00380301"/>
    <w:rsid w:val="00381066"/>
    <w:rsid w:val="00381C03"/>
    <w:rsid w:val="00381D59"/>
    <w:rsid w:val="003836D3"/>
    <w:rsid w:val="00385640"/>
    <w:rsid w:val="00386FB2"/>
    <w:rsid w:val="003905B6"/>
    <w:rsid w:val="003912A1"/>
    <w:rsid w:val="00393812"/>
    <w:rsid w:val="00394002"/>
    <w:rsid w:val="003941DD"/>
    <w:rsid w:val="00394CCB"/>
    <w:rsid w:val="003958DD"/>
    <w:rsid w:val="0039592D"/>
    <w:rsid w:val="00396472"/>
    <w:rsid w:val="00396679"/>
    <w:rsid w:val="00397B7F"/>
    <w:rsid w:val="003A2BD6"/>
    <w:rsid w:val="003A3C95"/>
    <w:rsid w:val="003A5A39"/>
    <w:rsid w:val="003A70CE"/>
    <w:rsid w:val="003A7B51"/>
    <w:rsid w:val="003A7E5F"/>
    <w:rsid w:val="003B01D3"/>
    <w:rsid w:val="003B0502"/>
    <w:rsid w:val="003B1BD2"/>
    <w:rsid w:val="003B26B3"/>
    <w:rsid w:val="003B2BB3"/>
    <w:rsid w:val="003B4D3D"/>
    <w:rsid w:val="003B6921"/>
    <w:rsid w:val="003C1019"/>
    <w:rsid w:val="003C2CDA"/>
    <w:rsid w:val="003C2FB3"/>
    <w:rsid w:val="003C4E75"/>
    <w:rsid w:val="003C64FF"/>
    <w:rsid w:val="003C744A"/>
    <w:rsid w:val="003D2096"/>
    <w:rsid w:val="003D31CC"/>
    <w:rsid w:val="003D72BC"/>
    <w:rsid w:val="003D797E"/>
    <w:rsid w:val="003E08C0"/>
    <w:rsid w:val="003E197A"/>
    <w:rsid w:val="003E3839"/>
    <w:rsid w:val="003E4458"/>
    <w:rsid w:val="003E4DBC"/>
    <w:rsid w:val="003E5360"/>
    <w:rsid w:val="003E5638"/>
    <w:rsid w:val="003E7325"/>
    <w:rsid w:val="003E7960"/>
    <w:rsid w:val="003F04A1"/>
    <w:rsid w:val="003F1EE2"/>
    <w:rsid w:val="003F2FBF"/>
    <w:rsid w:val="003F3A28"/>
    <w:rsid w:val="003F4795"/>
    <w:rsid w:val="003F5FD7"/>
    <w:rsid w:val="003F7AC6"/>
    <w:rsid w:val="004014FB"/>
    <w:rsid w:val="00402A20"/>
    <w:rsid w:val="00403D20"/>
    <w:rsid w:val="004040BE"/>
    <w:rsid w:val="00404E5F"/>
    <w:rsid w:val="00407003"/>
    <w:rsid w:val="004078EC"/>
    <w:rsid w:val="00407C3A"/>
    <w:rsid w:val="00410310"/>
    <w:rsid w:val="00412BF4"/>
    <w:rsid w:val="00414126"/>
    <w:rsid w:val="004142E0"/>
    <w:rsid w:val="004155D1"/>
    <w:rsid w:val="004166FA"/>
    <w:rsid w:val="0042030B"/>
    <w:rsid w:val="004218A0"/>
    <w:rsid w:val="00422F47"/>
    <w:rsid w:val="00423D2E"/>
    <w:rsid w:val="004247B2"/>
    <w:rsid w:val="00424F1D"/>
    <w:rsid w:val="00425503"/>
    <w:rsid w:val="00431CFE"/>
    <w:rsid w:val="0043254E"/>
    <w:rsid w:val="00433E1E"/>
    <w:rsid w:val="004357A0"/>
    <w:rsid w:val="00436349"/>
    <w:rsid w:val="0043643C"/>
    <w:rsid w:val="00436532"/>
    <w:rsid w:val="00436A85"/>
    <w:rsid w:val="00436BA3"/>
    <w:rsid w:val="004379D4"/>
    <w:rsid w:val="00441035"/>
    <w:rsid w:val="004410FA"/>
    <w:rsid w:val="00441652"/>
    <w:rsid w:val="00442268"/>
    <w:rsid w:val="0044268B"/>
    <w:rsid w:val="00443C99"/>
    <w:rsid w:val="00447972"/>
    <w:rsid w:val="00451A91"/>
    <w:rsid w:val="00452723"/>
    <w:rsid w:val="00452C6D"/>
    <w:rsid w:val="004536C8"/>
    <w:rsid w:val="00453E6F"/>
    <w:rsid w:val="004542F9"/>
    <w:rsid w:val="0045504F"/>
    <w:rsid w:val="004559F4"/>
    <w:rsid w:val="00455C8B"/>
    <w:rsid w:val="00455F42"/>
    <w:rsid w:val="004569BF"/>
    <w:rsid w:val="004579BA"/>
    <w:rsid w:val="00457DC6"/>
    <w:rsid w:val="0046042E"/>
    <w:rsid w:val="00462659"/>
    <w:rsid w:val="00465207"/>
    <w:rsid w:val="00465959"/>
    <w:rsid w:val="00465C24"/>
    <w:rsid w:val="00466BBC"/>
    <w:rsid w:val="00466BD6"/>
    <w:rsid w:val="00467B82"/>
    <w:rsid w:val="00467FD9"/>
    <w:rsid w:val="0047137C"/>
    <w:rsid w:val="0047149E"/>
    <w:rsid w:val="00473892"/>
    <w:rsid w:val="0047505C"/>
    <w:rsid w:val="004754C4"/>
    <w:rsid w:val="00477035"/>
    <w:rsid w:val="0048001B"/>
    <w:rsid w:val="0048201D"/>
    <w:rsid w:val="00482AD9"/>
    <w:rsid w:val="00482D3F"/>
    <w:rsid w:val="004833D9"/>
    <w:rsid w:val="00483B7F"/>
    <w:rsid w:val="004849BD"/>
    <w:rsid w:val="00485872"/>
    <w:rsid w:val="00486118"/>
    <w:rsid w:val="00486D70"/>
    <w:rsid w:val="00490CC6"/>
    <w:rsid w:val="00490F9D"/>
    <w:rsid w:val="00491396"/>
    <w:rsid w:val="00491D8E"/>
    <w:rsid w:val="0049752C"/>
    <w:rsid w:val="004A1095"/>
    <w:rsid w:val="004A10D0"/>
    <w:rsid w:val="004A14FF"/>
    <w:rsid w:val="004A2037"/>
    <w:rsid w:val="004A3333"/>
    <w:rsid w:val="004A347D"/>
    <w:rsid w:val="004A49FF"/>
    <w:rsid w:val="004A4D6D"/>
    <w:rsid w:val="004A554C"/>
    <w:rsid w:val="004A5600"/>
    <w:rsid w:val="004A751C"/>
    <w:rsid w:val="004A78F3"/>
    <w:rsid w:val="004B044F"/>
    <w:rsid w:val="004B145A"/>
    <w:rsid w:val="004B327B"/>
    <w:rsid w:val="004B39AB"/>
    <w:rsid w:val="004B41BC"/>
    <w:rsid w:val="004B51FE"/>
    <w:rsid w:val="004B5D28"/>
    <w:rsid w:val="004B5F7A"/>
    <w:rsid w:val="004B6FF4"/>
    <w:rsid w:val="004C2D06"/>
    <w:rsid w:val="004C3D00"/>
    <w:rsid w:val="004C4E13"/>
    <w:rsid w:val="004C54CD"/>
    <w:rsid w:val="004C5E5D"/>
    <w:rsid w:val="004C5EEF"/>
    <w:rsid w:val="004C61B9"/>
    <w:rsid w:val="004D0FC1"/>
    <w:rsid w:val="004D5A02"/>
    <w:rsid w:val="004D6AA2"/>
    <w:rsid w:val="004D73D3"/>
    <w:rsid w:val="004E0B63"/>
    <w:rsid w:val="004E12E6"/>
    <w:rsid w:val="004E1B62"/>
    <w:rsid w:val="004E4583"/>
    <w:rsid w:val="004E49DF"/>
    <w:rsid w:val="004E513F"/>
    <w:rsid w:val="004E5238"/>
    <w:rsid w:val="004E6B74"/>
    <w:rsid w:val="004F0DDC"/>
    <w:rsid w:val="004F42C9"/>
    <w:rsid w:val="004F7C5E"/>
    <w:rsid w:val="005001C5"/>
    <w:rsid w:val="00501DD2"/>
    <w:rsid w:val="00501E98"/>
    <w:rsid w:val="005039E6"/>
    <w:rsid w:val="0050400B"/>
    <w:rsid w:val="00505230"/>
    <w:rsid w:val="00505C66"/>
    <w:rsid w:val="00513A34"/>
    <w:rsid w:val="00514482"/>
    <w:rsid w:val="00514B40"/>
    <w:rsid w:val="005164F4"/>
    <w:rsid w:val="00516CA1"/>
    <w:rsid w:val="00520189"/>
    <w:rsid w:val="005210F6"/>
    <w:rsid w:val="00521F9C"/>
    <w:rsid w:val="0052308E"/>
    <w:rsid w:val="005231FE"/>
    <w:rsid w:val="00523672"/>
    <w:rsid w:val="00526713"/>
    <w:rsid w:val="00527921"/>
    <w:rsid w:val="00530BE1"/>
    <w:rsid w:val="00531B35"/>
    <w:rsid w:val="0053388F"/>
    <w:rsid w:val="00534E98"/>
    <w:rsid w:val="005359AE"/>
    <w:rsid w:val="005366E2"/>
    <w:rsid w:val="00536BE8"/>
    <w:rsid w:val="00542258"/>
    <w:rsid w:val="00542449"/>
    <w:rsid w:val="005425D3"/>
    <w:rsid w:val="00542BAC"/>
    <w:rsid w:val="00542BDA"/>
    <w:rsid w:val="00542E97"/>
    <w:rsid w:val="00543153"/>
    <w:rsid w:val="00543533"/>
    <w:rsid w:val="00543BFB"/>
    <w:rsid w:val="0054487D"/>
    <w:rsid w:val="00545BB7"/>
    <w:rsid w:val="00547F00"/>
    <w:rsid w:val="00551816"/>
    <w:rsid w:val="005525B9"/>
    <w:rsid w:val="00552A2A"/>
    <w:rsid w:val="00552F78"/>
    <w:rsid w:val="00555A93"/>
    <w:rsid w:val="0055606F"/>
    <w:rsid w:val="0055660A"/>
    <w:rsid w:val="00557946"/>
    <w:rsid w:val="00561506"/>
    <w:rsid w:val="0056157E"/>
    <w:rsid w:val="00561C9E"/>
    <w:rsid w:val="00563090"/>
    <w:rsid w:val="00564BA7"/>
    <w:rsid w:val="00564DE6"/>
    <w:rsid w:val="0056501E"/>
    <w:rsid w:val="0056605B"/>
    <w:rsid w:val="005672AF"/>
    <w:rsid w:val="00567497"/>
    <w:rsid w:val="00570F27"/>
    <w:rsid w:val="005710D4"/>
    <w:rsid w:val="00573770"/>
    <w:rsid w:val="005739D3"/>
    <w:rsid w:val="00574B3F"/>
    <w:rsid w:val="00576144"/>
    <w:rsid w:val="00576975"/>
    <w:rsid w:val="00581331"/>
    <w:rsid w:val="0058170F"/>
    <w:rsid w:val="005858AB"/>
    <w:rsid w:val="00586E5F"/>
    <w:rsid w:val="00590FF1"/>
    <w:rsid w:val="0059133D"/>
    <w:rsid w:val="00591492"/>
    <w:rsid w:val="005919B8"/>
    <w:rsid w:val="00591D42"/>
    <w:rsid w:val="00593014"/>
    <w:rsid w:val="005938E0"/>
    <w:rsid w:val="005948A7"/>
    <w:rsid w:val="00596A20"/>
    <w:rsid w:val="005A206E"/>
    <w:rsid w:val="005A21B1"/>
    <w:rsid w:val="005A265A"/>
    <w:rsid w:val="005A31E3"/>
    <w:rsid w:val="005A4440"/>
    <w:rsid w:val="005B0631"/>
    <w:rsid w:val="005B2A2B"/>
    <w:rsid w:val="005B34A9"/>
    <w:rsid w:val="005B7DBF"/>
    <w:rsid w:val="005C118F"/>
    <w:rsid w:val="005C1AA2"/>
    <w:rsid w:val="005C252E"/>
    <w:rsid w:val="005C2998"/>
    <w:rsid w:val="005D1787"/>
    <w:rsid w:val="005D20A1"/>
    <w:rsid w:val="005D5605"/>
    <w:rsid w:val="005D59CB"/>
    <w:rsid w:val="005D6230"/>
    <w:rsid w:val="005D6AF5"/>
    <w:rsid w:val="005E0167"/>
    <w:rsid w:val="005E0C6C"/>
    <w:rsid w:val="005E10CE"/>
    <w:rsid w:val="005E3709"/>
    <w:rsid w:val="005E4D91"/>
    <w:rsid w:val="005E4FC4"/>
    <w:rsid w:val="005E70D0"/>
    <w:rsid w:val="005E70F1"/>
    <w:rsid w:val="005F1EAE"/>
    <w:rsid w:val="005F20FC"/>
    <w:rsid w:val="005F2732"/>
    <w:rsid w:val="005F2A34"/>
    <w:rsid w:val="005F2E81"/>
    <w:rsid w:val="005F5C6B"/>
    <w:rsid w:val="005F64AC"/>
    <w:rsid w:val="005F787E"/>
    <w:rsid w:val="00600F09"/>
    <w:rsid w:val="00601105"/>
    <w:rsid w:val="0060195C"/>
    <w:rsid w:val="00603480"/>
    <w:rsid w:val="006046D8"/>
    <w:rsid w:val="00605618"/>
    <w:rsid w:val="0060633F"/>
    <w:rsid w:val="00606969"/>
    <w:rsid w:val="0061078F"/>
    <w:rsid w:val="00610D7F"/>
    <w:rsid w:val="00611494"/>
    <w:rsid w:val="00612429"/>
    <w:rsid w:val="006124C0"/>
    <w:rsid w:val="00620139"/>
    <w:rsid w:val="00621ED2"/>
    <w:rsid w:val="00624E48"/>
    <w:rsid w:val="00625F7B"/>
    <w:rsid w:val="00627351"/>
    <w:rsid w:val="0063089F"/>
    <w:rsid w:val="00631E0D"/>
    <w:rsid w:val="0063257D"/>
    <w:rsid w:val="00633D7C"/>
    <w:rsid w:val="00634B96"/>
    <w:rsid w:val="006358BA"/>
    <w:rsid w:val="006361C0"/>
    <w:rsid w:val="00636806"/>
    <w:rsid w:val="00637509"/>
    <w:rsid w:val="00637A89"/>
    <w:rsid w:val="00640281"/>
    <w:rsid w:val="0064030E"/>
    <w:rsid w:val="00640BC3"/>
    <w:rsid w:val="00642327"/>
    <w:rsid w:val="006454B8"/>
    <w:rsid w:val="0064708A"/>
    <w:rsid w:val="00651194"/>
    <w:rsid w:val="0065141B"/>
    <w:rsid w:val="00651CA1"/>
    <w:rsid w:val="006525BB"/>
    <w:rsid w:val="006529FD"/>
    <w:rsid w:val="00652A5E"/>
    <w:rsid w:val="00652C04"/>
    <w:rsid w:val="006552AF"/>
    <w:rsid w:val="00655CDF"/>
    <w:rsid w:val="0065609B"/>
    <w:rsid w:val="00657741"/>
    <w:rsid w:val="00662596"/>
    <w:rsid w:val="00662BB8"/>
    <w:rsid w:val="00662C85"/>
    <w:rsid w:val="00665519"/>
    <w:rsid w:val="0066598E"/>
    <w:rsid w:val="00665B97"/>
    <w:rsid w:val="0066636B"/>
    <w:rsid w:val="00670754"/>
    <w:rsid w:val="00671990"/>
    <w:rsid w:val="00672196"/>
    <w:rsid w:val="00672828"/>
    <w:rsid w:val="00673DBB"/>
    <w:rsid w:val="0067481D"/>
    <w:rsid w:val="00676948"/>
    <w:rsid w:val="006771C9"/>
    <w:rsid w:val="00677445"/>
    <w:rsid w:val="006776FE"/>
    <w:rsid w:val="006779BB"/>
    <w:rsid w:val="00680A83"/>
    <w:rsid w:val="006832B0"/>
    <w:rsid w:val="006836C5"/>
    <w:rsid w:val="006861B7"/>
    <w:rsid w:val="00687288"/>
    <w:rsid w:val="006902C7"/>
    <w:rsid w:val="006917BA"/>
    <w:rsid w:val="0069317C"/>
    <w:rsid w:val="00693BF5"/>
    <w:rsid w:val="00694360"/>
    <w:rsid w:val="0069468D"/>
    <w:rsid w:val="00694C82"/>
    <w:rsid w:val="006969DA"/>
    <w:rsid w:val="00696A0B"/>
    <w:rsid w:val="0069723B"/>
    <w:rsid w:val="00697579"/>
    <w:rsid w:val="006A023C"/>
    <w:rsid w:val="006A1595"/>
    <w:rsid w:val="006A19BC"/>
    <w:rsid w:val="006A2114"/>
    <w:rsid w:val="006A298A"/>
    <w:rsid w:val="006A4A6E"/>
    <w:rsid w:val="006A4E7A"/>
    <w:rsid w:val="006A4F86"/>
    <w:rsid w:val="006A544F"/>
    <w:rsid w:val="006A794B"/>
    <w:rsid w:val="006B0373"/>
    <w:rsid w:val="006B11AB"/>
    <w:rsid w:val="006B166A"/>
    <w:rsid w:val="006B28B4"/>
    <w:rsid w:val="006B28B9"/>
    <w:rsid w:val="006B3B0F"/>
    <w:rsid w:val="006B59B2"/>
    <w:rsid w:val="006B6333"/>
    <w:rsid w:val="006B6718"/>
    <w:rsid w:val="006B73DB"/>
    <w:rsid w:val="006B7E40"/>
    <w:rsid w:val="006C02C0"/>
    <w:rsid w:val="006C0AD2"/>
    <w:rsid w:val="006C2B07"/>
    <w:rsid w:val="006C3F5F"/>
    <w:rsid w:val="006C4788"/>
    <w:rsid w:val="006D117A"/>
    <w:rsid w:val="006D1410"/>
    <w:rsid w:val="006D2150"/>
    <w:rsid w:val="006D2376"/>
    <w:rsid w:val="006D2590"/>
    <w:rsid w:val="006D2985"/>
    <w:rsid w:val="006D2DD0"/>
    <w:rsid w:val="006D31E0"/>
    <w:rsid w:val="006D684B"/>
    <w:rsid w:val="006E03BE"/>
    <w:rsid w:val="006E04FB"/>
    <w:rsid w:val="006E1721"/>
    <w:rsid w:val="006E1DEF"/>
    <w:rsid w:val="006E279B"/>
    <w:rsid w:val="006E3060"/>
    <w:rsid w:val="006E5C43"/>
    <w:rsid w:val="006E7118"/>
    <w:rsid w:val="006F1223"/>
    <w:rsid w:val="006F1277"/>
    <w:rsid w:val="006F1EF8"/>
    <w:rsid w:val="006F3432"/>
    <w:rsid w:val="006F34B6"/>
    <w:rsid w:val="006F5F85"/>
    <w:rsid w:val="006F6834"/>
    <w:rsid w:val="006F6909"/>
    <w:rsid w:val="006F6DC5"/>
    <w:rsid w:val="0070072F"/>
    <w:rsid w:val="007027F4"/>
    <w:rsid w:val="007028FD"/>
    <w:rsid w:val="00702C5F"/>
    <w:rsid w:val="00710545"/>
    <w:rsid w:val="007111D3"/>
    <w:rsid w:val="0071235A"/>
    <w:rsid w:val="007144EE"/>
    <w:rsid w:val="0071517E"/>
    <w:rsid w:val="00715846"/>
    <w:rsid w:val="0071603C"/>
    <w:rsid w:val="007209BE"/>
    <w:rsid w:val="00723CD6"/>
    <w:rsid w:val="007260F3"/>
    <w:rsid w:val="0072764F"/>
    <w:rsid w:val="00727763"/>
    <w:rsid w:val="00732C41"/>
    <w:rsid w:val="007337CB"/>
    <w:rsid w:val="00735EC1"/>
    <w:rsid w:val="007425C9"/>
    <w:rsid w:val="00742C7F"/>
    <w:rsid w:val="0074354F"/>
    <w:rsid w:val="00746077"/>
    <w:rsid w:val="00746445"/>
    <w:rsid w:val="0074737E"/>
    <w:rsid w:val="007478E8"/>
    <w:rsid w:val="00750400"/>
    <w:rsid w:val="00757E10"/>
    <w:rsid w:val="00760A00"/>
    <w:rsid w:val="00760B93"/>
    <w:rsid w:val="00760E55"/>
    <w:rsid w:val="00763FDC"/>
    <w:rsid w:val="0076426A"/>
    <w:rsid w:val="00764DC5"/>
    <w:rsid w:val="00770BA5"/>
    <w:rsid w:val="00772112"/>
    <w:rsid w:val="00772EEB"/>
    <w:rsid w:val="0077348F"/>
    <w:rsid w:val="0077365B"/>
    <w:rsid w:val="00774DB0"/>
    <w:rsid w:val="00775E27"/>
    <w:rsid w:val="0077640F"/>
    <w:rsid w:val="00777A77"/>
    <w:rsid w:val="00777D4E"/>
    <w:rsid w:val="00780733"/>
    <w:rsid w:val="007818B3"/>
    <w:rsid w:val="00782607"/>
    <w:rsid w:val="00783680"/>
    <w:rsid w:val="00784F00"/>
    <w:rsid w:val="00785410"/>
    <w:rsid w:val="00786A0E"/>
    <w:rsid w:val="007914D9"/>
    <w:rsid w:val="00791B5C"/>
    <w:rsid w:val="00792350"/>
    <w:rsid w:val="007923B2"/>
    <w:rsid w:val="00792692"/>
    <w:rsid w:val="007926B7"/>
    <w:rsid w:val="007943AC"/>
    <w:rsid w:val="00796836"/>
    <w:rsid w:val="007A5711"/>
    <w:rsid w:val="007A5FB3"/>
    <w:rsid w:val="007B0306"/>
    <w:rsid w:val="007B0FF2"/>
    <w:rsid w:val="007B12B0"/>
    <w:rsid w:val="007B4E64"/>
    <w:rsid w:val="007B4FAB"/>
    <w:rsid w:val="007B592D"/>
    <w:rsid w:val="007B65A7"/>
    <w:rsid w:val="007B6E80"/>
    <w:rsid w:val="007B7912"/>
    <w:rsid w:val="007C024E"/>
    <w:rsid w:val="007C1A01"/>
    <w:rsid w:val="007C271C"/>
    <w:rsid w:val="007C2C1F"/>
    <w:rsid w:val="007C2C55"/>
    <w:rsid w:val="007C3C4C"/>
    <w:rsid w:val="007C6DDE"/>
    <w:rsid w:val="007C77F1"/>
    <w:rsid w:val="007D3795"/>
    <w:rsid w:val="007D4389"/>
    <w:rsid w:val="007D74D6"/>
    <w:rsid w:val="007E0264"/>
    <w:rsid w:val="007E09A3"/>
    <w:rsid w:val="007E12C2"/>
    <w:rsid w:val="007E1D5F"/>
    <w:rsid w:val="007E2C8B"/>
    <w:rsid w:val="007E3E5F"/>
    <w:rsid w:val="007E3E6E"/>
    <w:rsid w:val="007E4716"/>
    <w:rsid w:val="007E6755"/>
    <w:rsid w:val="007E7243"/>
    <w:rsid w:val="007F1A7F"/>
    <w:rsid w:val="007F2800"/>
    <w:rsid w:val="007F4E5B"/>
    <w:rsid w:val="007F528A"/>
    <w:rsid w:val="007F644C"/>
    <w:rsid w:val="007F6C3C"/>
    <w:rsid w:val="007F6CF1"/>
    <w:rsid w:val="007F7157"/>
    <w:rsid w:val="007F7A1A"/>
    <w:rsid w:val="00801617"/>
    <w:rsid w:val="0080170E"/>
    <w:rsid w:val="00801A7D"/>
    <w:rsid w:val="008020B9"/>
    <w:rsid w:val="00802A87"/>
    <w:rsid w:val="00804AEF"/>
    <w:rsid w:val="0080583A"/>
    <w:rsid w:val="00805DD6"/>
    <w:rsid w:val="00806B35"/>
    <w:rsid w:val="00807794"/>
    <w:rsid w:val="00807CF4"/>
    <w:rsid w:val="00810296"/>
    <w:rsid w:val="00810416"/>
    <w:rsid w:val="00810563"/>
    <w:rsid w:val="00810CA1"/>
    <w:rsid w:val="00811EA0"/>
    <w:rsid w:val="00813CD5"/>
    <w:rsid w:val="00814B24"/>
    <w:rsid w:val="008160D4"/>
    <w:rsid w:val="00816882"/>
    <w:rsid w:val="00816BC3"/>
    <w:rsid w:val="008171B5"/>
    <w:rsid w:val="00817905"/>
    <w:rsid w:val="00823460"/>
    <w:rsid w:val="00825093"/>
    <w:rsid w:val="0082658F"/>
    <w:rsid w:val="008268BB"/>
    <w:rsid w:val="00826BF3"/>
    <w:rsid w:val="008271B1"/>
    <w:rsid w:val="008273DA"/>
    <w:rsid w:val="008273F1"/>
    <w:rsid w:val="008308C2"/>
    <w:rsid w:val="00830E78"/>
    <w:rsid w:val="00831BE0"/>
    <w:rsid w:val="00832C28"/>
    <w:rsid w:val="00832FB3"/>
    <w:rsid w:val="00833A9E"/>
    <w:rsid w:val="00833C1C"/>
    <w:rsid w:val="0083405C"/>
    <w:rsid w:val="008361B2"/>
    <w:rsid w:val="00837F88"/>
    <w:rsid w:val="00840BB9"/>
    <w:rsid w:val="008416FC"/>
    <w:rsid w:val="008425E9"/>
    <w:rsid w:val="00842A8E"/>
    <w:rsid w:val="008434E0"/>
    <w:rsid w:val="008437EB"/>
    <w:rsid w:val="00845612"/>
    <w:rsid w:val="00845FC9"/>
    <w:rsid w:val="008464BF"/>
    <w:rsid w:val="00846718"/>
    <w:rsid w:val="008471B5"/>
    <w:rsid w:val="0084781C"/>
    <w:rsid w:val="00850433"/>
    <w:rsid w:val="00852CC7"/>
    <w:rsid w:val="0085600F"/>
    <w:rsid w:val="00860181"/>
    <w:rsid w:val="00860D57"/>
    <w:rsid w:val="0086111A"/>
    <w:rsid w:val="0086116D"/>
    <w:rsid w:val="00861187"/>
    <w:rsid w:val="008646C8"/>
    <w:rsid w:val="00865CAF"/>
    <w:rsid w:val="00866393"/>
    <w:rsid w:val="0086679B"/>
    <w:rsid w:val="008709D6"/>
    <w:rsid w:val="008718D0"/>
    <w:rsid w:val="00871DF7"/>
    <w:rsid w:val="00872471"/>
    <w:rsid w:val="008727E0"/>
    <w:rsid w:val="00872BB7"/>
    <w:rsid w:val="00873439"/>
    <w:rsid w:val="00873AB8"/>
    <w:rsid w:val="00874F0D"/>
    <w:rsid w:val="0087627B"/>
    <w:rsid w:val="00876373"/>
    <w:rsid w:val="00877A2C"/>
    <w:rsid w:val="00880F64"/>
    <w:rsid w:val="00881E5D"/>
    <w:rsid w:val="008853EB"/>
    <w:rsid w:val="00887372"/>
    <w:rsid w:val="008900B8"/>
    <w:rsid w:val="00890DC5"/>
    <w:rsid w:val="00890F45"/>
    <w:rsid w:val="008912E1"/>
    <w:rsid w:val="0089295E"/>
    <w:rsid w:val="00893CD3"/>
    <w:rsid w:val="00895A27"/>
    <w:rsid w:val="008976CA"/>
    <w:rsid w:val="0089777B"/>
    <w:rsid w:val="00897E0C"/>
    <w:rsid w:val="008A28EA"/>
    <w:rsid w:val="008A2950"/>
    <w:rsid w:val="008A3474"/>
    <w:rsid w:val="008A769A"/>
    <w:rsid w:val="008B4396"/>
    <w:rsid w:val="008B4827"/>
    <w:rsid w:val="008B4DAB"/>
    <w:rsid w:val="008B502A"/>
    <w:rsid w:val="008B5154"/>
    <w:rsid w:val="008B56EA"/>
    <w:rsid w:val="008B77CE"/>
    <w:rsid w:val="008B7C1B"/>
    <w:rsid w:val="008B7E06"/>
    <w:rsid w:val="008C02FE"/>
    <w:rsid w:val="008C0FD2"/>
    <w:rsid w:val="008C1560"/>
    <w:rsid w:val="008C1BEB"/>
    <w:rsid w:val="008C23FC"/>
    <w:rsid w:val="008C25FE"/>
    <w:rsid w:val="008D0BEA"/>
    <w:rsid w:val="008D295A"/>
    <w:rsid w:val="008D4758"/>
    <w:rsid w:val="008D7182"/>
    <w:rsid w:val="008D7C80"/>
    <w:rsid w:val="008E0178"/>
    <w:rsid w:val="008E1F48"/>
    <w:rsid w:val="008E1F68"/>
    <w:rsid w:val="008E24A4"/>
    <w:rsid w:val="008E272A"/>
    <w:rsid w:val="008E3AFF"/>
    <w:rsid w:val="008E4B7D"/>
    <w:rsid w:val="008E5E6F"/>
    <w:rsid w:val="008F0440"/>
    <w:rsid w:val="008F232D"/>
    <w:rsid w:val="008F2BEE"/>
    <w:rsid w:val="008F32C1"/>
    <w:rsid w:val="008F35C4"/>
    <w:rsid w:val="008F48BF"/>
    <w:rsid w:val="008F4CB0"/>
    <w:rsid w:val="008F4E64"/>
    <w:rsid w:val="008F4EA4"/>
    <w:rsid w:val="008F51E3"/>
    <w:rsid w:val="008F694A"/>
    <w:rsid w:val="008F6A98"/>
    <w:rsid w:val="00900BAD"/>
    <w:rsid w:val="009011FD"/>
    <w:rsid w:val="009016E8"/>
    <w:rsid w:val="00901BE6"/>
    <w:rsid w:val="009027DD"/>
    <w:rsid w:val="00902974"/>
    <w:rsid w:val="00903288"/>
    <w:rsid w:val="00904391"/>
    <w:rsid w:val="00906CF3"/>
    <w:rsid w:val="00910413"/>
    <w:rsid w:val="00911A53"/>
    <w:rsid w:val="00916F3A"/>
    <w:rsid w:val="00921E8D"/>
    <w:rsid w:val="00921F8B"/>
    <w:rsid w:val="00922367"/>
    <w:rsid w:val="00922B47"/>
    <w:rsid w:val="0092378D"/>
    <w:rsid w:val="0092414C"/>
    <w:rsid w:val="00924EF9"/>
    <w:rsid w:val="00925142"/>
    <w:rsid w:val="00925D8F"/>
    <w:rsid w:val="009279C4"/>
    <w:rsid w:val="009311B6"/>
    <w:rsid w:val="00932516"/>
    <w:rsid w:val="00932523"/>
    <w:rsid w:val="009325D6"/>
    <w:rsid w:val="00933087"/>
    <w:rsid w:val="0093379B"/>
    <w:rsid w:val="00933CCA"/>
    <w:rsid w:val="00935A8C"/>
    <w:rsid w:val="00936931"/>
    <w:rsid w:val="00936A94"/>
    <w:rsid w:val="009400F2"/>
    <w:rsid w:val="0094170F"/>
    <w:rsid w:val="0094173C"/>
    <w:rsid w:val="0094195A"/>
    <w:rsid w:val="00943331"/>
    <w:rsid w:val="00944CB3"/>
    <w:rsid w:val="00944E3D"/>
    <w:rsid w:val="00945686"/>
    <w:rsid w:val="009470E9"/>
    <w:rsid w:val="00947472"/>
    <w:rsid w:val="00947487"/>
    <w:rsid w:val="00951B3F"/>
    <w:rsid w:val="00951C8E"/>
    <w:rsid w:val="0095241E"/>
    <w:rsid w:val="00954BC9"/>
    <w:rsid w:val="00954F23"/>
    <w:rsid w:val="009557E7"/>
    <w:rsid w:val="009564A8"/>
    <w:rsid w:val="00956DC2"/>
    <w:rsid w:val="00957791"/>
    <w:rsid w:val="0096383C"/>
    <w:rsid w:val="00963B10"/>
    <w:rsid w:val="00964B90"/>
    <w:rsid w:val="009656DF"/>
    <w:rsid w:val="00965ADE"/>
    <w:rsid w:val="00965C4B"/>
    <w:rsid w:val="009677CB"/>
    <w:rsid w:val="0097129F"/>
    <w:rsid w:val="0097165F"/>
    <w:rsid w:val="00971A80"/>
    <w:rsid w:val="00971C6D"/>
    <w:rsid w:val="009722F2"/>
    <w:rsid w:val="00972B55"/>
    <w:rsid w:val="00974409"/>
    <w:rsid w:val="00974B9E"/>
    <w:rsid w:val="00975DA9"/>
    <w:rsid w:val="00976628"/>
    <w:rsid w:val="00980C73"/>
    <w:rsid w:val="009811EA"/>
    <w:rsid w:val="00981DB4"/>
    <w:rsid w:val="009826FF"/>
    <w:rsid w:val="0098276C"/>
    <w:rsid w:val="00982FF7"/>
    <w:rsid w:val="0098356E"/>
    <w:rsid w:val="009836F5"/>
    <w:rsid w:val="00983870"/>
    <w:rsid w:val="00984631"/>
    <w:rsid w:val="00984697"/>
    <w:rsid w:val="009863F0"/>
    <w:rsid w:val="0099093A"/>
    <w:rsid w:val="009922EE"/>
    <w:rsid w:val="00993721"/>
    <w:rsid w:val="00993B67"/>
    <w:rsid w:val="0099427A"/>
    <w:rsid w:val="00994C06"/>
    <w:rsid w:val="00994F62"/>
    <w:rsid w:val="00995431"/>
    <w:rsid w:val="0099553F"/>
    <w:rsid w:val="00995987"/>
    <w:rsid w:val="00995FDE"/>
    <w:rsid w:val="00996298"/>
    <w:rsid w:val="00997AC2"/>
    <w:rsid w:val="009A0346"/>
    <w:rsid w:val="009A0B3C"/>
    <w:rsid w:val="009A24F2"/>
    <w:rsid w:val="009A67F8"/>
    <w:rsid w:val="009A6B56"/>
    <w:rsid w:val="009A6EA0"/>
    <w:rsid w:val="009B2CC4"/>
    <w:rsid w:val="009B3602"/>
    <w:rsid w:val="009B39A7"/>
    <w:rsid w:val="009B4BF9"/>
    <w:rsid w:val="009B5B17"/>
    <w:rsid w:val="009B6CF2"/>
    <w:rsid w:val="009B6ECA"/>
    <w:rsid w:val="009B7562"/>
    <w:rsid w:val="009C0210"/>
    <w:rsid w:val="009C1B69"/>
    <w:rsid w:val="009C4848"/>
    <w:rsid w:val="009C5FE4"/>
    <w:rsid w:val="009C6378"/>
    <w:rsid w:val="009C7DDF"/>
    <w:rsid w:val="009D2338"/>
    <w:rsid w:val="009D3E72"/>
    <w:rsid w:val="009D770D"/>
    <w:rsid w:val="009E0479"/>
    <w:rsid w:val="009E11D6"/>
    <w:rsid w:val="009E374C"/>
    <w:rsid w:val="009E57E5"/>
    <w:rsid w:val="009E58C1"/>
    <w:rsid w:val="009E5DBE"/>
    <w:rsid w:val="009E6C45"/>
    <w:rsid w:val="009F2F74"/>
    <w:rsid w:val="009F3B4E"/>
    <w:rsid w:val="009F441D"/>
    <w:rsid w:val="009F50E2"/>
    <w:rsid w:val="009F62D3"/>
    <w:rsid w:val="009F648A"/>
    <w:rsid w:val="009F6985"/>
    <w:rsid w:val="009F763F"/>
    <w:rsid w:val="00A00BBD"/>
    <w:rsid w:val="00A012EE"/>
    <w:rsid w:val="00A01FB8"/>
    <w:rsid w:val="00A02656"/>
    <w:rsid w:val="00A03514"/>
    <w:rsid w:val="00A048E0"/>
    <w:rsid w:val="00A04FC2"/>
    <w:rsid w:val="00A10D27"/>
    <w:rsid w:val="00A11439"/>
    <w:rsid w:val="00A1160A"/>
    <w:rsid w:val="00A12004"/>
    <w:rsid w:val="00A14230"/>
    <w:rsid w:val="00A1531F"/>
    <w:rsid w:val="00A2135A"/>
    <w:rsid w:val="00A21952"/>
    <w:rsid w:val="00A2265D"/>
    <w:rsid w:val="00A23786"/>
    <w:rsid w:val="00A255BD"/>
    <w:rsid w:val="00A25A81"/>
    <w:rsid w:val="00A25B33"/>
    <w:rsid w:val="00A2723C"/>
    <w:rsid w:val="00A30906"/>
    <w:rsid w:val="00A3139C"/>
    <w:rsid w:val="00A31B74"/>
    <w:rsid w:val="00A31F8D"/>
    <w:rsid w:val="00A33F3F"/>
    <w:rsid w:val="00A34163"/>
    <w:rsid w:val="00A34FA9"/>
    <w:rsid w:val="00A367E9"/>
    <w:rsid w:val="00A40068"/>
    <w:rsid w:val="00A43AD2"/>
    <w:rsid w:val="00A43AED"/>
    <w:rsid w:val="00A4438C"/>
    <w:rsid w:val="00A44E29"/>
    <w:rsid w:val="00A466B7"/>
    <w:rsid w:val="00A47A7B"/>
    <w:rsid w:val="00A504A8"/>
    <w:rsid w:val="00A50962"/>
    <w:rsid w:val="00A523E3"/>
    <w:rsid w:val="00A52BDD"/>
    <w:rsid w:val="00A5345C"/>
    <w:rsid w:val="00A54278"/>
    <w:rsid w:val="00A54C26"/>
    <w:rsid w:val="00A54F64"/>
    <w:rsid w:val="00A551BB"/>
    <w:rsid w:val="00A5537E"/>
    <w:rsid w:val="00A5612E"/>
    <w:rsid w:val="00A5654E"/>
    <w:rsid w:val="00A600AA"/>
    <w:rsid w:val="00A6175F"/>
    <w:rsid w:val="00A620D4"/>
    <w:rsid w:val="00A63803"/>
    <w:rsid w:val="00A6381B"/>
    <w:rsid w:val="00A669BB"/>
    <w:rsid w:val="00A66AF3"/>
    <w:rsid w:val="00A67984"/>
    <w:rsid w:val="00A726E0"/>
    <w:rsid w:val="00A72D55"/>
    <w:rsid w:val="00A72F05"/>
    <w:rsid w:val="00A73691"/>
    <w:rsid w:val="00A75974"/>
    <w:rsid w:val="00A759FD"/>
    <w:rsid w:val="00A77405"/>
    <w:rsid w:val="00A779B1"/>
    <w:rsid w:val="00A803A6"/>
    <w:rsid w:val="00A80A6C"/>
    <w:rsid w:val="00A80DB4"/>
    <w:rsid w:val="00A81CBA"/>
    <w:rsid w:val="00A83643"/>
    <w:rsid w:val="00A83C6B"/>
    <w:rsid w:val="00A8455A"/>
    <w:rsid w:val="00A85079"/>
    <w:rsid w:val="00A85B5B"/>
    <w:rsid w:val="00A869C5"/>
    <w:rsid w:val="00A873D2"/>
    <w:rsid w:val="00A87B86"/>
    <w:rsid w:val="00A903A5"/>
    <w:rsid w:val="00A90D9B"/>
    <w:rsid w:val="00A913F6"/>
    <w:rsid w:val="00A93FD3"/>
    <w:rsid w:val="00A940D0"/>
    <w:rsid w:val="00A94967"/>
    <w:rsid w:val="00A958DF"/>
    <w:rsid w:val="00A9619C"/>
    <w:rsid w:val="00AA200E"/>
    <w:rsid w:val="00AA32D7"/>
    <w:rsid w:val="00AA399F"/>
    <w:rsid w:val="00AA4499"/>
    <w:rsid w:val="00AA49AF"/>
    <w:rsid w:val="00AA50B8"/>
    <w:rsid w:val="00AB2C52"/>
    <w:rsid w:val="00AB2CCD"/>
    <w:rsid w:val="00AB32A4"/>
    <w:rsid w:val="00AB3C13"/>
    <w:rsid w:val="00AB4C71"/>
    <w:rsid w:val="00AB50A5"/>
    <w:rsid w:val="00AB64F1"/>
    <w:rsid w:val="00AB75A4"/>
    <w:rsid w:val="00AB77CF"/>
    <w:rsid w:val="00AB7C19"/>
    <w:rsid w:val="00AC1D81"/>
    <w:rsid w:val="00AC2418"/>
    <w:rsid w:val="00AC4D86"/>
    <w:rsid w:val="00AC73A7"/>
    <w:rsid w:val="00AC7581"/>
    <w:rsid w:val="00AD1295"/>
    <w:rsid w:val="00AD296A"/>
    <w:rsid w:val="00AD3079"/>
    <w:rsid w:val="00AD3088"/>
    <w:rsid w:val="00AD58C3"/>
    <w:rsid w:val="00AD6410"/>
    <w:rsid w:val="00AD71D7"/>
    <w:rsid w:val="00AD7364"/>
    <w:rsid w:val="00AD7B03"/>
    <w:rsid w:val="00AE0A3C"/>
    <w:rsid w:val="00AE0A77"/>
    <w:rsid w:val="00AE1305"/>
    <w:rsid w:val="00AE1CBF"/>
    <w:rsid w:val="00AE2064"/>
    <w:rsid w:val="00AE2BEA"/>
    <w:rsid w:val="00AE2BF0"/>
    <w:rsid w:val="00AE380A"/>
    <w:rsid w:val="00AE3C70"/>
    <w:rsid w:val="00AE3EC9"/>
    <w:rsid w:val="00AE4518"/>
    <w:rsid w:val="00AE5547"/>
    <w:rsid w:val="00AE7185"/>
    <w:rsid w:val="00AE7E82"/>
    <w:rsid w:val="00AF042A"/>
    <w:rsid w:val="00AF1C52"/>
    <w:rsid w:val="00AF2FD8"/>
    <w:rsid w:val="00AF65E0"/>
    <w:rsid w:val="00AF717A"/>
    <w:rsid w:val="00AF7CCA"/>
    <w:rsid w:val="00AF7E8F"/>
    <w:rsid w:val="00B00A31"/>
    <w:rsid w:val="00B017EB"/>
    <w:rsid w:val="00B044E7"/>
    <w:rsid w:val="00B04CB3"/>
    <w:rsid w:val="00B062B2"/>
    <w:rsid w:val="00B10986"/>
    <w:rsid w:val="00B1121A"/>
    <w:rsid w:val="00B122A6"/>
    <w:rsid w:val="00B13113"/>
    <w:rsid w:val="00B13A74"/>
    <w:rsid w:val="00B16314"/>
    <w:rsid w:val="00B16F25"/>
    <w:rsid w:val="00B173BA"/>
    <w:rsid w:val="00B17E0D"/>
    <w:rsid w:val="00B2172F"/>
    <w:rsid w:val="00B23088"/>
    <w:rsid w:val="00B2382A"/>
    <w:rsid w:val="00B239ED"/>
    <w:rsid w:val="00B240DA"/>
    <w:rsid w:val="00B24A2A"/>
    <w:rsid w:val="00B27297"/>
    <w:rsid w:val="00B30A47"/>
    <w:rsid w:val="00B34C63"/>
    <w:rsid w:val="00B34CE5"/>
    <w:rsid w:val="00B352F0"/>
    <w:rsid w:val="00B35D67"/>
    <w:rsid w:val="00B3737B"/>
    <w:rsid w:val="00B378D4"/>
    <w:rsid w:val="00B403AA"/>
    <w:rsid w:val="00B406FE"/>
    <w:rsid w:val="00B40DDC"/>
    <w:rsid w:val="00B41D5C"/>
    <w:rsid w:val="00B42AE8"/>
    <w:rsid w:val="00B43405"/>
    <w:rsid w:val="00B43C94"/>
    <w:rsid w:val="00B45B3F"/>
    <w:rsid w:val="00B50E1E"/>
    <w:rsid w:val="00B51176"/>
    <w:rsid w:val="00B51645"/>
    <w:rsid w:val="00B516F7"/>
    <w:rsid w:val="00B5244D"/>
    <w:rsid w:val="00B5430B"/>
    <w:rsid w:val="00B54685"/>
    <w:rsid w:val="00B55A9D"/>
    <w:rsid w:val="00B57EAA"/>
    <w:rsid w:val="00B605C0"/>
    <w:rsid w:val="00B6077F"/>
    <w:rsid w:val="00B61B78"/>
    <w:rsid w:val="00B624F9"/>
    <w:rsid w:val="00B646A7"/>
    <w:rsid w:val="00B65937"/>
    <w:rsid w:val="00B6631D"/>
    <w:rsid w:val="00B6731E"/>
    <w:rsid w:val="00B673EF"/>
    <w:rsid w:val="00B67433"/>
    <w:rsid w:val="00B71177"/>
    <w:rsid w:val="00B723A6"/>
    <w:rsid w:val="00B7338A"/>
    <w:rsid w:val="00B734E1"/>
    <w:rsid w:val="00B742A0"/>
    <w:rsid w:val="00B756B4"/>
    <w:rsid w:val="00B75D6D"/>
    <w:rsid w:val="00B7673F"/>
    <w:rsid w:val="00B7694D"/>
    <w:rsid w:val="00B775D7"/>
    <w:rsid w:val="00B77966"/>
    <w:rsid w:val="00B77DC5"/>
    <w:rsid w:val="00B80C4C"/>
    <w:rsid w:val="00B817A1"/>
    <w:rsid w:val="00B81A64"/>
    <w:rsid w:val="00B8249E"/>
    <w:rsid w:val="00B84166"/>
    <w:rsid w:val="00B8444F"/>
    <w:rsid w:val="00B85B16"/>
    <w:rsid w:val="00B861E9"/>
    <w:rsid w:val="00B87C14"/>
    <w:rsid w:val="00B909A4"/>
    <w:rsid w:val="00B91158"/>
    <w:rsid w:val="00B91E30"/>
    <w:rsid w:val="00B929FB"/>
    <w:rsid w:val="00B94C6A"/>
    <w:rsid w:val="00B964AF"/>
    <w:rsid w:val="00B9680C"/>
    <w:rsid w:val="00B973A9"/>
    <w:rsid w:val="00B975FE"/>
    <w:rsid w:val="00BA0BA4"/>
    <w:rsid w:val="00BA1BAF"/>
    <w:rsid w:val="00BA1E5E"/>
    <w:rsid w:val="00BA4834"/>
    <w:rsid w:val="00BA5645"/>
    <w:rsid w:val="00BA6C05"/>
    <w:rsid w:val="00BA7D14"/>
    <w:rsid w:val="00BB2A74"/>
    <w:rsid w:val="00BB4030"/>
    <w:rsid w:val="00BB4DB4"/>
    <w:rsid w:val="00BB5AD9"/>
    <w:rsid w:val="00BB5BF6"/>
    <w:rsid w:val="00BB7CD9"/>
    <w:rsid w:val="00BC00FF"/>
    <w:rsid w:val="00BC0D75"/>
    <w:rsid w:val="00BC12BF"/>
    <w:rsid w:val="00BC1C9E"/>
    <w:rsid w:val="00BC1D05"/>
    <w:rsid w:val="00BC339F"/>
    <w:rsid w:val="00BC349E"/>
    <w:rsid w:val="00BC3AD7"/>
    <w:rsid w:val="00BC48D5"/>
    <w:rsid w:val="00BC7F15"/>
    <w:rsid w:val="00BD08EC"/>
    <w:rsid w:val="00BD0C59"/>
    <w:rsid w:val="00BD13C5"/>
    <w:rsid w:val="00BD2B77"/>
    <w:rsid w:val="00BD2EC2"/>
    <w:rsid w:val="00BD3BBA"/>
    <w:rsid w:val="00BD4018"/>
    <w:rsid w:val="00BD4043"/>
    <w:rsid w:val="00BE645F"/>
    <w:rsid w:val="00BE6925"/>
    <w:rsid w:val="00BE7B2D"/>
    <w:rsid w:val="00BE7B78"/>
    <w:rsid w:val="00BF002A"/>
    <w:rsid w:val="00BF1009"/>
    <w:rsid w:val="00BF110A"/>
    <w:rsid w:val="00BF18F1"/>
    <w:rsid w:val="00BF1A1C"/>
    <w:rsid w:val="00BF2025"/>
    <w:rsid w:val="00BF2353"/>
    <w:rsid w:val="00BF3900"/>
    <w:rsid w:val="00BF3B1A"/>
    <w:rsid w:val="00BF3EC4"/>
    <w:rsid w:val="00BF462F"/>
    <w:rsid w:val="00BF4F10"/>
    <w:rsid w:val="00BF5312"/>
    <w:rsid w:val="00BF5AAE"/>
    <w:rsid w:val="00BF5B2E"/>
    <w:rsid w:val="00BF5B32"/>
    <w:rsid w:val="00BF72EB"/>
    <w:rsid w:val="00BF798E"/>
    <w:rsid w:val="00C0087F"/>
    <w:rsid w:val="00C019D9"/>
    <w:rsid w:val="00C02472"/>
    <w:rsid w:val="00C0247C"/>
    <w:rsid w:val="00C033B4"/>
    <w:rsid w:val="00C061B3"/>
    <w:rsid w:val="00C061C2"/>
    <w:rsid w:val="00C076E3"/>
    <w:rsid w:val="00C105C6"/>
    <w:rsid w:val="00C11372"/>
    <w:rsid w:val="00C11EFA"/>
    <w:rsid w:val="00C14D90"/>
    <w:rsid w:val="00C151CD"/>
    <w:rsid w:val="00C15695"/>
    <w:rsid w:val="00C16723"/>
    <w:rsid w:val="00C16CB3"/>
    <w:rsid w:val="00C1710B"/>
    <w:rsid w:val="00C2209F"/>
    <w:rsid w:val="00C23E31"/>
    <w:rsid w:val="00C24273"/>
    <w:rsid w:val="00C24C91"/>
    <w:rsid w:val="00C24F50"/>
    <w:rsid w:val="00C263E5"/>
    <w:rsid w:val="00C3154C"/>
    <w:rsid w:val="00C319B3"/>
    <w:rsid w:val="00C33034"/>
    <w:rsid w:val="00C339FB"/>
    <w:rsid w:val="00C33A28"/>
    <w:rsid w:val="00C3759D"/>
    <w:rsid w:val="00C42A93"/>
    <w:rsid w:val="00C43D69"/>
    <w:rsid w:val="00C445CB"/>
    <w:rsid w:val="00C450AA"/>
    <w:rsid w:val="00C4537A"/>
    <w:rsid w:val="00C5076C"/>
    <w:rsid w:val="00C50E95"/>
    <w:rsid w:val="00C54388"/>
    <w:rsid w:val="00C54DC2"/>
    <w:rsid w:val="00C55D38"/>
    <w:rsid w:val="00C565C7"/>
    <w:rsid w:val="00C56A20"/>
    <w:rsid w:val="00C571A9"/>
    <w:rsid w:val="00C577AF"/>
    <w:rsid w:val="00C609AF"/>
    <w:rsid w:val="00C60D0B"/>
    <w:rsid w:val="00C60D34"/>
    <w:rsid w:val="00C61F9B"/>
    <w:rsid w:val="00C632D2"/>
    <w:rsid w:val="00C65E07"/>
    <w:rsid w:val="00C70708"/>
    <w:rsid w:val="00C71F16"/>
    <w:rsid w:val="00C72A95"/>
    <w:rsid w:val="00C72D9E"/>
    <w:rsid w:val="00C74BDF"/>
    <w:rsid w:val="00C770AA"/>
    <w:rsid w:val="00C77588"/>
    <w:rsid w:val="00C81266"/>
    <w:rsid w:val="00C8197A"/>
    <w:rsid w:val="00C842C1"/>
    <w:rsid w:val="00C850A3"/>
    <w:rsid w:val="00C8661D"/>
    <w:rsid w:val="00C8681E"/>
    <w:rsid w:val="00C870C6"/>
    <w:rsid w:val="00C902A4"/>
    <w:rsid w:val="00C913C7"/>
    <w:rsid w:val="00C92066"/>
    <w:rsid w:val="00C93207"/>
    <w:rsid w:val="00C93F2E"/>
    <w:rsid w:val="00C940D3"/>
    <w:rsid w:val="00C94224"/>
    <w:rsid w:val="00C94FD0"/>
    <w:rsid w:val="00C97030"/>
    <w:rsid w:val="00CA02BE"/>
    <w:rsid w:val="00CA087F"/>
    <w:rsid w:val="00CA10E1"/>
    <w:rsid w:val="00CA1DD1"/>
    <w:rsid w:val="00CA31C9"/>
    <w:rsid w:val="00CA44A7"/>
    <w:rsid w:val="00CA65B5"/>
    <w:rsid w:val="00CA7B4C"/>
    <w:rsid w:val="00CB12F5"/>
    <w:rsid w:val="00CB217A"/>
    <w:rsid w:val="00CB23C4"/>
    <w:rsid w:val="00CB27D3"/>
    <w:rsid w:val="00CB3488"/>
    <w:rsid w:val="00CB3AC4"/>
    <w:rsid w:val="00CB541A"/>
    <w:rsid w:val="00CB6CF6"/>
    <w:rsid w:val="00CB7387"/>
    <w:rsid w:val="00CB7ED6"/>
    <w:rsid w:val="00CC0911"/>
    <w:rsid w:val="00CC0B92"/>
    <w:rsid w:val="00CC13F9"/>
    <w:rsid w:val="00CC4DCB"/>
    <w:rsid w:val="00CC5C63"/>
    <w:rsid w:val="00CD1116"/>
    <w:rsid w:val="00CD13B7"/>
    <w:rsid w:val="00CD3723"/>
    <w:rsid w:val="00CD5413"/>
    <w:rsid w:val="00CD56E1"/>
    <w:rsid w:val="00CD6B88"/>
    <w:rsid w:val="00CE00F4"/>
    <w:rsid w:val="00CE157E"/>
    <w:rsid w:val="00CE2C7C"/>
    <w:rsid w:val="00CE3110"/>
    <w:rsid w:val="00CE55AB"/>
    <w:rsid w:val="00CF02C2"/>
    <w:rsid w:val="00CF088D"/>
    <w:rsid w:val="00CF24AB"/>
    <w:rsid w:val="00CF24F7"/>
    <w:rsid w:val="00CF30C8"/>
    <w:rsid w:val="00CF48D1"/>
    <w:rsid w:val="00CF568D"/>
    <w:rsid w:val="00CF6F6B"/>
    <w:rsid w:val="00CF7A07"/>
    <w:rsid w:val="00D0047F"/>
    <w:rsid w:val="00D00CF1"/>
    <w:rsid w:val="00D01226"/>
    <w:rsid w:val="00D01902"/>
    <w:rsid w:val="00D02803"/>
    <w:rsid w:val="00D03475"/>
    <w:rsid w:val="00D044EF"/>
    <w:rsid w:val="00D1186E"/>
    <w:rsid w:val="00D12A83"/>
    <w:rsid w:val="00D132F3"/>
    <w:rsid w:val="00D1352F"/>
    <w:rsid w:val="00D13EC1"/>
    <w:rsid w:val="00D1402B"/>
    <w:rsid w:val="00D16299"/>
    <w:rsid w:val="00D21121"/>
    <w:rsid w:val="00D21349"/>
    <w:rsid w:val="00D2149B"/>
    <w:rsid w:val="00D217FB"/>
    <w:rsid w:val="00D21FFF"/>
    <w:rsid w:val="00D222EE"/>
    <w:rsid w:val="00D240EC"/>
    <w:rsid w:val="00D313E9"/>
    <w:rsid w:val="00D317B2"/>
    <w:rsid w:val="00D3185A"/>
    <w:rsid w:val="00D31963"/>
    <w:rsid w:val="00D32000"/>
    <w:rsid w:val="00D327B0"/>
    <w:rsid w:val="00D32AA7"/>
    <w:rsid w:val="00D32BEA"/>
    <w:rsid w:val="00D32BF0"/>
    <w:rsid w:val="00D338B5"/>
    <w:rsid w:val="00D33A94"/>
    <w:rsid w:val="00D3409A"/>
    <w:rsid w:val="00D36362"/>
    <w:rsid w:val="00D36788"/>
    <w:rsid w:val="00D36AD4"/>
    <w:rsid w:val="00D4023D"/>
    <w:rsid w:val="00D40861"/>
    <w:rsid w:val="00D41E73"/>
    <w:rsid w:val="00D4219F"/>
    <w:rsid w:val="00D43076"/>
    <w:rsid w:val="00D43482"/>
    <w:rsid w:val="00D438CC"/>
    <w:rsid w:val="00D4525B"/>
    <w:rsid w:val="00D45E16"/>
    <w:rsid w:val="00D46125"/>
    <w:rsid w:val="00D46764"/>
    <w:rsid w:val="00D469CA"/>
    <w:rsid w:val="00D5065A"/>
    <w:rsid w:val="00D50FF8"/>
    <w:rsid w:val="00D52F02"/>
    <w:rsid w:val="00D5372C"/>
    <w:rsid w:val="00D55B37"/>
    <w:rsid w:val="00D5616E"/>
    <w:rsid w:val="00D5619C"/>
    <w:rsid w:val="00D56FBA"/>
    <w:rsid w:val="00D60F69"/>
    <w:rsid w:val="00D6170B"/>
    <w:rsid w:val="00D64434"/>
    <w:rsid w:val="00D648EA"/>
    <w:rsid w:val="00D649FB"/>
    <w:rsid w:val="00D64D2E"/>
    <w:rsid w:val="00D65486"/>
    <w:rsid w:val="00D664F5"/>
    <w:rsid w:val="00D66701"/>
    <w:rsid w:val="00D669F9"/>
    <w:rsid w:val="00D702BB"/>
    <w:rsid w:val="00D721A2"/>
    <w:rsid w:val="00D73B48"/>
    <w:rsid w:val="00D74593"/>
    <w:rsid w:val="00D75130"/>
    <w:rsid w:val="00D805F3"/>
    <w:rsid w:val="00D806E6"/>
    <w:rsid w:val="00D80BA6"/>
    <w:rsid w:val="00D80DB4"/>
    <w:rsid w:val="00D85DCC"/>
    <w:rsid w:val="00D864F2"/>
    <w:rsid w:val="00D86906"/>
    <w:rsid w:val="00D86EC6"/>
    <w:rsid w:val="00D90F96"/>
    <w:rsid w:val="00D91165"/>
    <w:rsid w:val="00D92549"/>
    <w:rsid w:val="00D93297"/>
    <w:rsid w:val="00D93541"/>
    <w:rsid w:val="00D93C67"/>
    <w:rsid w:val="00D9435B"/>
    <w:rsid w:val="00D9544D"/>
    <w:rsid w:val="00D962EC"/>
    <w:rsid w:val="00D97088"/>
    <w:rsid w:val="00D97E41"/>
    <w:rsid w:val="00DA14A7"/>
    <w:rsid w:val="00DA3521"/>
    <w:rsid w:val="00DA4289"/>
    <w:rsid w:val="00DA6129"/>
    <w:rsid w:val="00DA7323"/>
    <w:rsid w:val="00DA7C49"/>
    <w:rsid w:val="00DA7CD2"/>
    <w:rsid w:val="00DB06B4"/>
    <w:rsid w:val="00DB2387"/>
    <w:rsid w:val="00DB2CC7"/>
    <w:rsid w:val="00DB35D9"/>
    <w:rsid w:val="00DB3A5F"/>
    <w:rsid w:val="00DB5C60"/>
    <w:rsid w:val="00DB74E9"/>
    <w:rsid w:val="00DB7DEB"/>
    <w:rsid w:val="00DC32B5"/>
    <w:rsid w:val="00DC3B8C"/>
    <w:rsid w:val="00DC40AA"/>
    <w:rsid w:val="00DC64DD"/>
    <w:rsid w:val="00DD053E"/>
    <w:rsid w:val="00DD10EC"/>
    <w:rsid w:val="00DD1996"/>
    <w:rsid w:val="00DD2BBF"/>
    <w:rsid w:val="00DD2E02"/>
    <w:rsid w:val="00DD424F"/>
    <w:rsid w:val="00DD43B5"/>
    <w:rsid w:val="00DD4E96"/>
    <w:rsid w:val="00DD6542"/>
    <w:rsid w:val="00DD68D3"/>
    <w:rsid w:val="00DE0E70"/>
    <w:rsid w:val="00DE1006"/>
    <w:rsid w:val="00DE1B63"/>
    <w:rsid w:val="00DE263D"/>
    <w:rsid w:val="00DE37A1"/>
    <w:rsid w:val="00DE3871"/>
    <w:rsid w:val="00DE5728"/>
    <w:rsid w:val="00DF0507"/>
    <w:rsid w:val="00DF1AA3"/>
    <w:rsid w:val="00DF2ADA"/>
    <w:rsid w:val="00DF2ED5"/>
    <w:rsid w:val="00DF33A5"/>
    <w:rsid w:val="00DF34D0"/>
    <w:rsid w:val="00DF45EB"/>
    <w:rsid w:val="00DF4828"/>
    <w:rsid w:val="00DF48F1"/>
    <w:rsid w:val="00DF5101"/>
    <w:rsid w:val="00DF728B"/>
    <w:rsid w:val="00E00301"/>
    <w:rsid w:val="00E007F3"/>
    <w:rsid w:val="00E01614"/>
    <w:rsid w:val="00E044EB"/>
    <w:rsid w:val="00E04646"/>
    <w:rsid w:val="00E04AAD"/>
    <w:rsid w:val="00E065F4"/>
    <w:rsid w:val="00E06A43"/>
    <w:rsid w:val="00E1006B"/>
    <w:rsid w:val="00E10758"/>
    <w:rsid w:val="00E11728"/>
    <w:rsid w:val="00E11F54"/>
    <w:rsid w:val="00E12C8D"/>
    <w:rsid w:val="00E1384D"/>
    <w:rsid w:val="00E13B6D"/>
    <w:rsid w:val="00E13F80"/>
    <w:rsid w:val="00E14F5D"/>
    <w:rsid w:val="00E16B26"/>
    <w:rsid w:val="00E2047F"/>
    <w:rsid w:val="00E208D1"/>
    <w:rsid w:val="00E217E5"/>
    <w:rsid w:val="00E21AEF"/>
    <w:rsid w:val="00E22192"/>
    <w:rsid w:val="00E249D7"/>
    <w:rsid w:val="00E262B5"/>
    <w:rsid w:val="00E27CF9"/>
    <w:rsid w:val="00E30585"/>
    <w:rsid w:val="00E31742"/>
    <w:rsid w:val="00E324DF"/>
    <w:rsid w:val="00E32AAE"/>
    <w:rsid w:val="00E3317A"/>
    <w:rsid w:val="00E332D0"/>
    <w:rsid w:val="00E33E87"/>
    <w:rsid w:val="00E3540E"/>
    <w:rsid w:val="00E35BEC"/>
    <w:rsid w:val="00E369B3"/>
    <w:rsid w:val="00E40DCF"/>
    <w:rsid w:val="00E41BEA"/>
    <w:rsid w:val="00E41F1B"/>
    <w:rsid w:val="00E42733"/>
    <w:rsid w:val="00E435D2"/>
    <w:rsid w:val="00E4697B"/>
    <w:rsid w:val="00E5134F"/>
    <w:rsid w:val="00E536B7"/>
    <w:rsid w:val="00E56345"/>
    <w:rsid w:val="00E5637C"/>
    <w:rsid w:val="00E569E1"/>
    <w:rsid w:val="00E57037"/>
    <w:rsid w:val="00E6307C"/>
    <w:rsid w:val="00E635FF"/>
    <w:rsid w:val="00E65022"/>
    <w:rsid w:val="00E65A24"/>
    <w:rsid w:val="00E67F82"/>
    <w:rsid w:val="00E7288E"/>
    <w:rsid w:val="00E72B70"/>
    <w:rsid w:val="00E73AFC"/>
    <w:rsid w:val="00E74502"/>
    <w:rsid w:val="00E74510"/>
    <w:rsid w:val="00E74852"/>
    <w:rsid w:val="00E809B9"/>
    <w:rsid w:val="00E80FF5"/>
    <w:rsid w:val="00E82BAE"/>
    <w:rsid w:val="00E83FD3"/>
    <w:rsid w:val="00E8475C"/>
    <w:rsid w:val="00E84EC7"/>
    <w:rsid w:val="00E86335"/>
    <w:rsid w:val="00E86631"/>
    <w:rsid w:val="00E87380"/>
    <w:rsid w:val="00E91B20"/>
    <w:rsid w:val="00E91B70"/>
    <w:rsid w:val="00E92043"/>
    <w:rsid w:val="00E94185"/>
    <w:rsid w:val="00E957EB"/>
    <w:rsid w:val="00E962AC"/>
    <w:rsid w:val="00E97F69"/>
    <w:rsid w:val="00EA0ADF"/>
    <w:rsid w:val="00EA1796"/>
    <w:rsid w:val="00EA45FF"/>
    <w:rsid w:val="00EA4E8D"/>
    <w:rsid w:val="00EA70B8"/>
    <w:rsid w:val="00EA7D2A"/>
    <w:rsid w:val="00EA7E57"/>
    <w:rsid w:val="00EB0615"/>
    <w:rsid w:val="00EB2F2C"/>
    <w:rsid w:val="00EB3067"/>
    <w:rsid w:val="00EB3F27"/>
    <w:rsid w:val="00EB424E"/>
    <w:rsid w:val="00EB4897"/>
    <w:rsid w:val="00EB4EA9"/>
    <w:rsid w:val="00EC0C0F"/>
    <w:rsid w:val="00EC20E0"/>
    <w:rsid w:val="00EC30B6"/>
    <w:rsid w:val="00EC45B8"/>
    <w:rsid w:val="00ED0175"/>
    <w:rsid w:val="00ED0D42"/>
    <w:rsid w:val="00ED1A2B"/>
    <w:rsid w:val="00ED1A6A"/>
    <w:rsid w:val="00ED23EC"/>
    <w:rsid w:val="00ED3120"/>
    <w:rsid w:val="00ED3BAC"/>
    <w:rsid w:val="00ED3DE4"/>
    <w:rsid w:val="00ED4F52"/>
    <w:rsid w:val="00ED563C"/>
    <w:rsid w:val="00ED56E4"/>
    <w:rsid w:val="00ED64D2"/>
    <w:rsid w:val="00ED690E"/>
    <w:rsid w:val="00ED6FAB"/>
    <w:rsid w:val="00EE1090"/>
    <w:rsid w:val="00EE1D33"/>
    <w:rsid w:val="00EE2B40"/>
    <w:rsid w:val="00EE5FDA"/>
    <w:rsid w:val="00EE66EF"/>
    <w:rsid w:val="00EE7734"/>
    <w:rsid w:val="00EE7C8C"/>
    <w:rsid w:val="00EF0F98"/>
    <w:rsid w:val="00EF1357"/>
    <w:rsid w:val="00EF2774"/>
    <w:rsid w:val="00EF3674"/>
    <w:rsid w:val="00EF680E"/>
    <w:rsid w:val="00EF7935"/>
    <w:rsid w:val="00EF7BB6"/>
    <w:rsid w:val="00EF7C04"/>
    <w:rsid w:val="00F00DE5"/>
    <w:rsid w:val="00F0134D"/>
    <w:rsid w:val="00F018B9"/>
    <w:rsid w:val="00F01DB2"/>
    <w:rsid w:val="00F02F0E"/>
    <w:rsid w:val="00F0311D"/>
    <w:rsid w:val="00F067B8"/>
    <w:rsid w:val="00F06ACF"/>
    <w:rsid w:val="00F06D4B"/>
    <w:rsid w:val="00F076DD"/>
    <w:rsid w:val="00F104DB"/>
    <w:rsid w:val="00F110C1"/>
    <w:rsid w:val="00F110E6"/>
    <w:rsid w:val="00F1131A"/>
    <w:rsid w:val="00F12620"/>
    <w:rsid w:val="00F128F8"/>
    <w:rsid w:val="00F13790"/>
    <w:rsid w:val="00F138A4"/>
    <w:rsid w:val="00F13CB7"/>
    <w:rsid w:val="00F16B10"/>
    <w:rsid w:val="00F239B2"/>
    <w:rsid w:val="00F24CE9"/>
    <w:rsid w:val="00F30CF4"/>
    <w:rsid w:val="00F324DD"/>
    <w:rsid w:val="00F325FA"/>
    <w:rsid w:val="00F32EF4"/>
    <w:rsid w:val="00F34A37"/>
    <w:rsid w:val="00F4115B"/>
    <w:rsid w:val="00F43389"/>
    <w:rsid w:val="00F43DEE"/>
    <w:rsid w:val="00F449D0"/>
    <w:rsid w:val="00F44D59"/>
    <w:rsid w:val="00F45DDA"/>
    <w:rsid w:val="00F45F6F"/>
    <w:rsid w:val="00F50B02"/>
    <w:rsid w:val="00F5323C"/>
    <w:rsid w:val="00F54688"/>
    <w:rsid w:val="00F54C1A"/>
    <w:rsid w:val="00F54E2D"/>
    <w:rsid w:val="00F54FB0"/>
    <w:rsid w:val="00F552ED"/>
    <w:rsid w:val="00F55406"/>
    <w:rsid w:val="00F555AC"/>
    <w:rsid w:val="00F56590"/>
    <w:rsid w:val="00F603FB"/>
    <w:rsid w:val="00F60575"/>
    <w:rsid w:val="00F630E8"/>
    <w:rsid w:val="00F635AF"/>
    <w:rsid w:val="00F63EC0"/>
    <w:rsid w:val="00F70B00"/>
    <w:rsid w:val="00F7192E"/>
    <w:rsid w:val="00F728ED"/>
    <w:rsid w:val="00F72FA9"/>
    <w:rsid w:val="00F735DD"/>
    <w:rsid w:val="00F77B8F"/>
    <w:rsid w:val="00F80881"/>
    <w:rsid w:val="00F81215"/>
    <w:rsid w:val="00F82CE0"/>
    <w:rsid w:val="00F83E5A"/>
    <w:rsid w:val="00F8452A"/>
    <w:rsid w:val="00F84605"/>
    <w:rsid w:val="00F84F21"/>
    <w:rsid w:val="00F85E93"/>
    <w:rsid w:val="00F860BF"/>
    <w:rsid w:val="00F87465"/>
    <w:rsid w:val="00F8749A"/>
    <w:rsid w:val="00F90094"/>
    <w:rsid w:val="00F914B4"/>
    <w:rsid w:val="00F91BA1"/>
    <w:rsid w:val="00F934CB"/>
    <w:rsid w:val="00FA103C"/>
    <w:rsid w:val="00FA19DB"/>
    <w:rsid w:val="00FA1C74"/>
    <w:rsid w:val="00FA5E5A"/>
    <w:rsid w:val="00FB0753"/>
    <w:rsid w:val="00FB0DB3"/>
    <w:rsid w:val="00FB310A"/>
    <w:rsid w:val="00FB471C"/>
    <w:rsid w:val="00FB4793"/>
    <w:rsid w:val="00FB4988"/>
    <w:rsid w:val="00FB5633"/>
    <w:rsid w:val="00FB723D"/>
    <w:rsid w:val="00FB7D03"/>
    <w:rsid w:val="00FC0214"/>
    <w:rsid w:val="00FC1C98"/>
    <w:rsid w:val="00FC314F"/>
    <w:rsid w:val="00FC3252"/>
    <w:rsid w:val="00FC4191"/>
    <w:rsid w:val="00FC6E00"/>
    <w:rsid w:val="00FC7B15"/>
    <w:rsid w:val="00FC7F28"/>
    <w:rsid w:val="00FD004F"/>
    <w:rsid w:val="00FD0221"/>
    <w:rsid w:val="00FD027B"/>
    <w:rsid w:val="00FD0E1E"/>
    <w:rsid w:val="00FD0F18"/>
    <w:rsid w:val="00FD140E"/>
    <w:rsid w:val="00FD2F5F"/>
    <w:rsid w:val="00FD4DB8"/>
    <w:rsid w:val="00FD6D0F"/>
    <w:rsid w:val="00FE01C6"/>
    <w:rsid w:val="00FE1AA8"/>
    <w:rsid w:val="00FE2A1C"/>
    <w:rsid w:val="00FE31A9"/>
    <w:rsid w:val="00FE36C7"/>
    <w:rsid w:val="00FE55E2"/>
    <w:rsid w:val="00FE6D11"/>
    <w:rsid w:val="00FE7B1B"/>
    <w:rsid w:val="00FE7C48"/>
    <w:rsid w:val="00FF0270"/>
    <w:rsid w:val="00FF2038"/>
    <w:rsid w:val="00FF2809"/>
    <w:rsid w:val="00FF344C"/>
    <w:rsid w:val="00FF4118"/>
    <w:rsid w:val="00FF5EA5"/>
    <w:rsid w:val="00FF6176"/>
    <w:rsid w:val="00FF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071"/>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071"/>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2012-06-21T20:16:00Z</dcterms:created>
  <dcterms:modified xsi:type="dcterms:W3CDTF">2012-06-21T20:16:00Z</dcterms:modified>
</cp:coreProperties>
</file>