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4FF" w:rsidRDefault="00C034FF" w:rsidP="00C034FF">
      <w:pPr>
        <w:widowControl w:val="0"/>
        <w:autoSpaceDE w:val="0"/>
        <w:autoSpaceDN w:val="0"/>
        <w:adjustRightInd w:val="0"/>
      </w:pPr>
    </w:p>
    <w:p w:rsidR="00C034FF" w:rsidRDefault="00C034FF" w:rsidP="00C034FF">
      <w:pPr>
        <w:widowControl w:val="0"/>
        <w:autoSpaceDE w:val="0"/>
        <w:autoSpaceDN w:val="0"/>
        <w:adjustRightInd w:val="0"/>
      </w:pPr>
      <w:r>
        <w:rPr>
          <w:b/>
          <w:bCs/>
        </w:rPr>
        <w:t xml:space="preserve">Section 215.30  </w:t>
      </w:r>
      <w:r w:rsidR="0011454D">
        <w:rPr>
          <w:b/>
          <w:bCs/>
        </w:rPr>
        <w:t xml:space="preserve">Location of Storage Tanks </w:t>
      </w:r>
    </w:p>
    <w:p w:rsidR="00C034FF" w:rsidRDefault="00C034FF" w:rsidP="00C034FF">
      <w:pPr>
        <w:widowControl w:val="0"/>
        <w:autoSpaceDE w:val="0"/>
        <w:autoSpaceDN w:val="0"/>
        <w:adjustRightInd w:val="0"/>
      </w:pPr>
    </w:p>
    <w:p w:rsidR="0011454D" w:rsidRPr="00FB4F8F" w:rsidRDefault="0011454D" w:rsidP="0011454D">
      <w:pPr>
        <w:widowControl w:val="0"/>
        <w:ind w:left="1440" w:hanging="720"/>
        <w:rPr>
          <w:bCs/>
        </w:rPr>
      </w:pPr>
      <w:r w:rsidRPr="00FB4F8F">
        <w:rPr>
          <w:bCs/>
        </w:rPr>
        <w:t>a)</w:t>
      </w:r>
      <w:r w:rsidR="00B425EC">
        <w:rPr>
          <w:bCs/>
        </w:rPr>
        <w:tab/>
      </w:r>
      <w:r w:rsidRPr="00FB4F8F">
        <w:rPr>
          <w:bCs/>
        </w:rPr>
        <w:t>Tanks shall be located outside of buildings unless the building is especially constructed for the safe handling and storage of anhydrous ammonia.  Permanent storage shall be located outside of densely populated areas and subject to the approval of the Department as follows: If located within the corporate limits of a village, town, or city, written approval of the municipality</w:t>
      </w:r>
      <w:r w:rsidR="00B570D7">
        <w:rPr>
          <w:bCs/>
        </w:rPr>
        <w:t>'</w:t>
      </w:r>
      <w:r w:rsidRPr="00FB4F8F">
        <w:rPr>
          <w:bCs/>
        </w:rPr>
        <w:t>s governing body or a county zoning permit shall be submitted to the Department before tentative approval to begin construction of a permanent storage facility will be given.  The intended storage must be completed and approved by the Department within one year from the date written tentative approval was given.  Final approval will be given if the facility and equipment complies with</w:t>
      </w:r>
      <w:r w:rsidR="00067599">
        <w:rPr>
          <w:bCs/>
        </w:rPr>
        <w:t xml:space="preserve"> this Part</w:t>
      </w:r>
      <w:r w:rsidRPr="00FB4F8F">
        <w:rPr>
          <w:bCs/>
        </w:rPr>
        <w:t>.</w:t>
      </w:r>
    </w:p>
    <w:p w:rsidR="00726CE5" w:rsidRDefault="00726CE5" w:rsidP="00B570D7"/>
    <w:p w:rsidR="0011454D" w:rsidRPr="00FB4F8F" w:rsidRDefault="0011454D" w:rsidP="0011454D">
      <w:pPr>
        <w:widowControl w:val="0"/>
        <w:ind w:left="1440" w:hanging="720"/>
        <w:rPr>
          <w:bCs/>
        </w:rPr>
      </w:pPr>
      <w:r w:rsidRPr="00FB4F8F">
        <w:rPr>
          <w:bCs/>
        </w:rPr>
        <w:t>b)</w:t>
      </w:r>
      <w:r w:rsidR="00B425EC">
        <w:rPr>
          <w:bCs/>
        </w:rPr>
        <w:tab/>
      </w:r>
      <w:r w:rsidRPr="00FB4F8F">
        <w:rPr>
          <w:bCs/>
        </w:rPr>
        <w:t>Containers shall be located at least 50 feet from a dug well or other source of potable water.</w:t>
      </w:r>
    </w:p>
    <w:p w:rsidR="00726CE5" w:rsidRDefault="00726CE5" w:rsidP="00B570D7"/>
    <w:p w:rsidR="0011454D" w:rsidRPr="00FB4F8F" w:rsidRDefault="0011454D" w:rsidP="0011454D">
      <w:pPr>
        <w:widowControl w:val="0"/>
        <w:ind w:left="1440" w:hanging="720"/>
        <w:rPr>
          <w:bCs/>
        </w:rPr>
      </w:pPr>
      <w:r w:rsidRPr="00FB4F8F">
        <w:rPr>
          <w:bCs/>
        </w:rPr>
        <w:t>c)</w:t>
      </w:r>
      <w:r w:rsidR="00B425EC">
        <w:rPr>
          <w:bCs/>
        </w:rPr>
        <w:tab/>
      </w:r>
      <w:r w:rsidRPr="00FB4F8F">
        <w:rPr>
          <w:bCs/>
        </w:rPr>
        <w:t xml:space="preserve">Nurse tank load out risers and containers for newly approved sites after </w:t>
      </w:r>
      <w:r w:rsidR="00067599">
        <w:rPr>
          <w:bCs/>
        </w:rPr>
        <w:t xml:space="preserve">July 1, 2003 </w:t>
      </w:r>
      <w:r w:rsidRPr="00FB4F8F">
        <w:rPr>
          <w:bCs/>
        </w:rPr>
        <w:t xml:space="preserve">shall be a minimum distance of 200 feet from the property line.  Installation of additional load out risers or containers at sites approved prior to </w:t>
      </w:r>
      <w:r w:rsidR="00067599">
        <w:rPr>
          <w:bCs/>
        </w:rPr>
        <w:t xml:space="preserve">July 1, 2003 </w:t>
      </w:r>
      <w:r w:rsidRPr="00FB4F8F">
        <w:rPr>
          <w:bCs/>
        </w:rPr>
        <w:t>shall be a minimum distance of 75 feet from the property line.</w:t>
      </w:r>
    </w:p>
    <w:p w:rsidR="00726CE5" w:rsidRDefault="00726CE5" w:rsidP="00B570D7"/>
    <w:p w:rsidR="0011454D" w:rsidRPr="00FB4F8F" w:rsidRDefault="0011454D" w:rsidP="0011454D">
      <w:pPr>
        <w:widowControl w:val="0"/>
        <w:ind w:left="1440" w:hanging="720"/>
        <w:rPr>
          <w:bCs/>
        </w:rPr>
      </w:pPr>
      <w:r w:rsidRPr="00FB4F8F">
        <w:rPr>
          <w:bCs/>
        </w:rPr>
        <w:t>d)</w:t>
      </w:r>
      <w:r w:rsidR="00B425EC">
        <w:rPr>
          <w:bCs/>
        </w:rPr>
        <w:tab/>
      </w:r>
      <w:r w:rsidRPr="00FB4F8F">
        <w:rPr>
          <w:bCs/>
        </w:rPr>
        <w:t>Container locations shall comply with the following distance requirements:</w:t>
      </w:r>
    </w:p>
    <w:p w:rsidR="006A2728" w:rsidRDefault="006A2728" w:rsidP="00B570D7"/>
    <w:tbl>
      <w:tblPr>
        <w:tblW w:w="0" w:type="auto"/>
        <w:tblInd w:w="1362" w:type="dxa"/>
        <w:tblLayout w:type="fixed"/>
        <w:tblLook w:val="0000" w:firstRow="0" w:lastRow="0" w:firstColumn="0" w:lastColumn="0" w:noHBand="0" w:noVBand="0"/>
      </w:tblPr>
      <w:tblGrid>
        <w:gridCol w:w="2472"/>
        <w:gridCol w:w="2160"/>
        <w:gridCol w:w="2151"/>
        <w:gridCol w:w="1431"/>
      </w:tblGrid>
      <w:tr w:rsidR="005C2A76" w:rsidTr="00BC4CDB">
        <w:tc>
          <w:tcPr>
            <w:tcW w:w="2472" w:type="dxa"/>
          </w:tcPr>
          <w:p w:rsidR="005C2A76" w:rsidRDefault="005C2A76" w:rsidP="006A2728">
            <w:pPr>
              <w:widowControl w:val="0"/>
              <w:jc w:val="center"/>
              <w:rPr>
                <w:bCs/>
              </w:rPr>
            </w:pPr>
          </w:p>
        </w:tc>
        <w:tc>
          <w:tcPr>
            <w:tcW w:w="5742" w:type="dxa"/>
            <w:gridSpan w:val="3"/>
            <w:tcBorders>
              <w:bottom w:val="single" w:sz="6" w:space="0" w:color="auto"/>
            </w:tcBorders>
            <w:vAlign w:val="center"/>
          </w:tcPr>
          <w:p w:rsidR="005C2A76" w:rsidRPr="00BC4CDB" w:rsidRDefault="005C2A76" w:rsidP="00BC4CDB">
            <w:pPr>
              <w:widowControl w:val="0"/>
              <w:jc w:val="center"/>
              <w:rPr>
                <w:b/>
                <w:bCs/>
              </w:rPr>
            </w:pPr>
            <w:r w:rsidRPr="00BC4CDB">
              <w:rPr>
                <w:b/>
                <w:bCs/>
              </w:rPr>
              <w:t>Minimum Distance (feet) from Container</w:t>
            </w:r>
          </w:p>
        </w:tc>
      </w:tr>
      <w:tr w:rsidR="005C2A76" w:rsidRPr="00BC4CDB" w:rsidTr="00BC4CDB">
        <w:trPr>
          <w:trHeight w:val="687"/>
        </w:trPr>
        <w:tc>
          <w:tcPr>
            <w:tcW w:w="2472" w:type="dxa"/>
            <w:vAlign w:val="bottom"/>
          </w:tcPr>
          <w:p w:rsidR="005C2A76" w:rsidRPr="00BC4CDB" w:rsidRDefault="005C2A76" w:rsidP="00BC4CDB">
            <w:pPr>
              <w:widowControl w:val="0"/>
              <w:ind w:left="-120" w:right="-99"/>
              <w:jc w:val="center"/>
              <w:rPr>
                <w:b/>
                <w:bCs/>
              </w:rPr>
            </w:pPr>
            <w:r w:rsidRPr="00BC4CDB">
              <w:rPr>
                <w:b/>
                <w:bCs/>
              </w:rPr>
              <w:t>Nominal capacity of containers (gallons)</w:t>
            </w:r>
          </w:p>
        </w:tc>
        <w:tc>
          <w:tcPr>
            <w:tcW w:w="2160" w:type="dxa"/>
            <w:tcBorders>
              <w:top w:val="single" w:sz="6" w:space="0" w:color="auto"/>
            </w:tcBorders>
            <w:vAlign w:val="bottom"/>
          </w:tcPr>
          <w:p w:rsidR="005C2A76" w:rsidRPr="00BC4CDB" w:rsidRDefault="005C2A76" w:rsidP="00BC4CDB">
            <w:pPr>
              <w:widowControl w:val="0"/>
              <w:jc w:val="center"/>
              <w:rPr>
                <w:b/>
                <w:bCs/>
              </w:rPr>
            </w:pPr>
            <w:r w:rsidRPr="00BC4CDB">
              <w:rPr>
                <w:b/>
                <w:bCs/>
              </w:rPr>
              <w:t>Railroad mainline property</w:t>
            </w:r>
          </w:p>
        </w:tc>
        <w:tc>
          <w:tcPr>
            <w:tcW w:w="2151" w:type="dxa"/>
            <w:tcBorders>
              <w:top w:val="single" w:sz="6" w:space="0" w:color="auto"/>
            </w:tcBorders>
            <w:vAlign w:val="bottom"/>
          </w:tcPr>
          <w:p w:rsidR="005C2A76" w:rsidRPr="00BC4CDB" w:rsidRDefault="005C2A76" w:rsidP="00BC4CDB">
            <w:pPr>
              <w:widowControl w:val="0"/>
              <w:jc w:val="center"/>
              <w:rPr>
                <w:b/>
                <w:bCs/>
              </w:rPr>
            </w:pPr>
            <w:r w:rsidRPr="00BC4CDB">
              <w:rPr>
                <w:b/>
                <w:bCs/>
              </w:rPr>
              <w:t>Place of private or public assembly</w:t>
            </w:r>
          </w:p>
        </w:tc>
        <w:tc>
          <w:tcPr>
            <w:tcW w:w="1431" w:type="dxa"/>
            <w:tcBorders>
              <w:top w:val="single" w:sz="6" w:space="0" w:color="auto"/>
            </w:tcBorders>
            <w:vAlign w:val="bottom"/>
          </w:tcPr>
          <w:p w:rsidR="005C2A76" w:rsidRPr="00BC4CDB" w:rsidRDefault="005C2A76" w:rsidP="00BC4CDB">
            <w:pPr>
              <w:widowControl w:val="0"/>
              <w:ind w:left="-99" w:right="-90"/>
              <w:jc w:val="center"/>
              <w:rPr>
                <w:b/>
                <w:bCs/>
              </w:rPr>
            </w:pPr>
            <w:r w:rsidRPr="00BC4CDB">
              <w:rPr>
                <w:b/>
                <w:bCs/>
              </w:rPr>
              <w:t>Institutional occupancy</w:t>
            </w:r>
          </w:p>
        </w:tc>
      </w:tr>
      <w:tr w:rsidR="005C2A76" w:rsidTr="00BC4CDB">
        <w:tc>
          <w:tcPr>
            <w:tcW w:w="2472" w:type="dxa"/>
          </w:tcPr>
          <w:p w:rsidR="005C2A76" w:rsidRDefault="005C2A76" w:rsidP="0011454D">
            <w:pPr>
              <w:widowControl w:val="0"/>
              <w:rPr>
                <w:bCs/>
              </w:rPr>
            </w:pPr>
          </w:p>
        </w:tc>
        <w:tc>
          <w:tcPr>
            <w:tcW w:w="2160" w:type="dxa"/>
          </w:tcPr>
          <w:p w:rsidR="005C2A76" w:rsidRDefault="005C2A76" w:rsidP="0011454D">
            <w:pPr>
              <w:widowControl w:val="0"/>
              <w:rPr>
                <w:bCs/>
              </w:rPr>
            </w:pPr>
          </w:p>
        </w:tc>
        <w:tc>
          <w:tcPr>
            <w:tcW w:w="2151" w:type="dxa"/>
          </w:tcPr>
          <w:p w:rsidR="005C2A76" w:rsidRDefault="005C2A76" w:rsidP="0011454D">
            <w:pPr>
              <w:widowControl w:val="0"/>
              <w:rPr>
                <w:bCs/>
              </w:rPr>
            </w:pPr>
          </w:p>
        </w:tc>
        <w:tc>
          <w:tcPr>
            <w:tcW w:w="1431" w:type="dxa"/>
          </w:tcPr>
          <w:p w:rsidR="005C2A76" w:rsidRDefault="005C2A76" w:rsidP="0011454D">
            <w:pPr>
              <w:widowControl w:val="0"/>
              <w:rPr>
                <w:bCs/>
              </w:rPr>
            </w:pPr>
          </w:p>
        </w:tc>
      </w:tr>
      <w:tr w:rsidR="005C2A76" w:rsidTr="00BC4CDB">
        <w:tc>
          <w:tcPr>
            <w:tcW w:w="2472" w:type="dxa"/>
          </w:tcPr>
          <w:p w:rsidR="005C2A76" w:rsidRDefault="005C2A76" w:rsidP="00BC4CDB">
            <w:pPr>
              <w:widowControl w:val="0"/>
              <w:jc w:val="center"/>
              <w:rPr>
                <w:bCs/>
              </w:rPr>
            </w:pPr>
            <w:r>
              <w:rPr>
                <w:bCs/>
              </w:rPr>
              <w:t>001-</w:t>
            </w:r>
            <w:r w:rsidR="00BC4CDB">
              <w:rPr>
                <w:bCs/>
              </w:rPr>
              <w:t>3000</w:t>
            </w:r>
          </w:p>
        </w:tc>
        <w:tc>
          <w:tcPr>
            <w:tcW w:w="2160" w:type="dxa"/>
          </w:tcPr>
          <w:p w:rsidR="005C2A76" w:rsidRDefault="005C2A76" w:rsidP="006A2728">
            <w:pPr>
              <w:widowControl w:val="0"/>
              <w:jc w:val="center"/>
              <w:rPr>
                <w:bCs/>
              </w:rPr>
            </w:pPr>
            <w:r>
              <w:rPr>
                <w:bCs/>
              </w:rPr>
              <w:t>100</w:t>
            </w:r>
          </w:p>
        </w:tc>
        <w:tc>
          <w:tcPr>
            <w:tcW w:w="2151" w:type="dxa"/>
          </w:tcPr>
          <w:p w:rsidR="005C2A76" w:rsidRDefault="005C2A76" w:rsidP="006A2728">
            <w:pPr>
              <w:widowControl w:val="0"/>
              <w:jc w:val="center"/>
              <w:rPr>
                <w:bCs/>
              </w:rPr>
            </w:pPr>
            <w:r>
              <w:rPr>
                <w:bCs/>
              </w:rPr>
              <w:t>200</w:t>
            </w:r>
          </w:p>
        </w:tc>
        <w:tc>
          <w:tcPr>
            <w:tcW w:w="1431" w:type="dxa"/>
          </w:tcPr>
          <w:p w:rsidR="005C2A76" w:rsidRDefault="005C2A76" w:rsidP="006A2728">
            <w:pPr>
              <w:widowControl w:val="0"/>
              <w:jc w:val="center"/>
              <w:rPr>
                <w:bCs/>
              </w:rPr>
            </w:pPr>
            <w:r>
              <w:rPr>
                <w:bCs/>
              </w:rPr>
              <w:t>750</w:t>
            </w:r>
          </w:p>
        </w:tc>
      </w:tr>
      <w:tr w:rsidR="005C2A76" w:rsidTr="00BC4CDB">
        <w:tc>
          <w:tcPr>
            <w:tcW w:w="2472" w:type="dxa"/>
          </w:tcPr>
          <w:p w:rsidR="005C2A76" w:rsidRDefault="005C2A76" w:rsidP="00BC4CDB">
            <w:pPr>
              <w:widowControl w:val="0"/>
              <w:jc w:val="center"/>
              <w:rPr>
                <w:bCs/>
              </w:rPr>
            </w:pPr>
            <w:r>
              <w:rPr>
                <w:bCs/>
              </w:rPr>
              <w:t xml:space="preserve">over </w:t>
            </w:r>
            <w:r w:rsidR="00BC4CDB">
              <w:rPr>
                <w:bCs/>
              </w:rPr>
              <w:t>3000</w:t>
            </w:r>
          </w:p>
        </w:tc>
        <w:tc>
          <w:tcPr>
            <w:tcW w:w="2160" w:type="dxa"/>
          </w:tcPr>
          <w:p w:rsidR="005C2A76" w:rsidRDefault="005C2A76" w:rsidP="006A2728">
            <w:pPr>
              <w:widowControl w:val="0"/>
              <w:jc w:val="center"/>
              <w:rPr>
                <w:bCs/>
              </w:rPr>
            </w:pPr>
            <w:r>
              <w:rPr>
                <w:bCs/>
              </w:rPr>
              <w:t>100</w:t>
            </w:r>
          </w:p>
        </w:tc>
        <w:tc>
          <w:tcPr>
            <w:tcW w:w="2151" w:type="dxa"/>
          </w:tcPr>
          <w:p w:rsidR="005C2A76" w:rsidRDefault="005C2A76" w:rsidP="006A2728">
            <w:pPr>
              <w:widowControl w:val="0"/>
              <w:jc w:val="center"/>
              <w:rPr>
                <w:bCs/>
              </w:rPr>
            </w:pPr>
            <w:r>
              <w:rPr>
                <w:bCs/>
              </w:rPr>
              <w:t>400</w:t>
            </w:r>
          </w:p>
        </w:tc>
        <w:tc>
          <w:tcPr>
            <w:tcW w:w="1431" w:type="dxa"/>
          </w:tcPr>
          <w:p w:rsidR="005C2A76" w:rsidRDefault="00BC4CDB" w:rsidP="00BC4CDB">
            <w:pPr>
              <w:widowControl w:val="0"/>
              <w:jc w:val="center"/>
              <w:rPr>
                <w:bCs/>
              </w:rPr>
            </w:pPr>
            <w:r>
              <w:rPr>
                <w:bCs/>
              </w:rPr>
              <w:t>1000</w:t>
            </w:r>
          </w:p>
        </w:tc>
      </w:tr>
    </w:tbl>
    <w:p w:rsidR="006A2728" w:rsidRDefault="006A2728" w:rsidP="00B570D7"/>
    <w:p w:rsidR="0011454D" w:rsidRPr="00FB4F8F" w:rsidRDefault="0011454D" w:rsidP="0011454D">
      <w:pPr>
        <w:widowControl w:val="0"/>
        <w:ind w:left="1440" w:hanging="720"/>
        <w:rPr>
          <w:bCs/>
        </w:rPr>
      </w:pPr>
      <w:r w:rsidRPr="00FB4F8F">
        <w:rPr>
          <w:bCs/>
        </w:rPr>
        <w:t>e)</w:t>
      </w:r>
      <w:r w:rsidR="00B425EC">
        <w:rPr>
          <w:bCs/>
        </w:rPr>
        <w:tab/>
      </w:r>
      <w:r w:rsidRPr="00FB4F8F">
        <w:rPr>
          <w:bCs/>
        </w:rPr>
        <w:t xml:space="preserve">Offices or buildings integral to the </w:t>
      </w:r>
      <w:r w:rsidR="005E33F4">
        <w:rPr>
          <w:bCs/>
        </w:rPr>
        <w:t>agr</w:t>
      </w:r>
      <w:r w:rsidR="000A204C">
        <w:rPr>
          <w:bCs/>
        </w:rPr>
        <w:t>i</w:t>
      </w:r>
      <w:r w:rsidR="005E33F4">
        <w:rPr>
          <w:bCs/>
        </w:rPr>
        <w:t xml:space="preserve">chemical </w:t>
      </w:r>
      <w:r w:rsidRPr="00FB4F8F">
        <w:rPr>
          <w:bCs/>
        </w:rPr>
        <w:t>business are exempt from the minimum distance requirement.  Excluded from the distance requirement are those installations installed prior to</w:t>
      </w:r>
      <w:r w:rsidR="00067599">
        <w:rPr>
          <w:bCs/>
        </w:rPr>
        <w:t xml:space="preserve"> July 1, 2003</w:t>
      </w:r>
      <w:r w:rsidRPr="00FB4F8F">
        <w:rPr>
          <w:bCs/>
        </w:rPr>
        <w:t xml:space="preserve">.  The Department will </w:t>
      </w:r>
      <w:r w:rsidR="00224D4B">
        <w:rPr>
          <w:bCs/>
        </w:rPr>
        <w:t>approve</w:t>
      </w:r>
      <w:r w:rsidRPr="00FB4F8F">
        <w:rPr>
          <w:bCs/>
        </w:rPr>
        <w:t xml:space="preserve"> replacement storage tanks to be installed.  A replacement tank may be of a larger capacity.  Replacement tanks must meet all requirements of </w:t>
      </w:r>
      <w:r w:rsidR="006A2728">
        <w:rPr>
          <w:bCs/>
        </w:rPr>
        <w:t xml:space="preserve">this Part </w:t>
      </w:r>
      <w:r w:rsidRPr="00FB4F8F">
        <w:rPr>
          <w:bCs/>
        </w:rPr>
        <w:t xml:space="preserve">with the exception of </w:t>
      </w:r>
      <w:r w:rsidR="006A2728">
        <w:rPr>
          <w:bCs/>
        </w:rPr>
        <w:t xml:space="preserve">subsection </w:t>
      </w:r>
      <w:r w:rsidRPr="00FB4F8F">
        <w:rPr>
          <w:bCs/>
        </w:rPr>
        <w:t>(d).  The provisions concerning replacement of tanks applies specifically to installations installed prior to</w:t>
      </w:r>
      <w:r w:rsidR="00067599">
        <w:rPr>
          <w:bCs/>
        </w:rPr>
        <w:t xml:space="preserve"> July 1, 2003</w:t>
      </w:r>
      <w:r w:rsidR="00822311">
        <w:rPr>
          <w:bCs/>
        </w:rPr>
        <w:t xml:space="preserve">.  </w:t>
      </w:r>
      <w:r w:rsidR="007C7C39">
        <w:rPr>
          <w:bCs/>
        </w:rPr>
        <w:t xml:space="preserve">Notwithstanding the other provisions of this </w:t>
      </w:r>
      <w:r w:rsidR="00822311">
        <w:rPr>
          <w:bCs/>
        </w:rPr>
        <w:t>S</w:t>
      </w:r>
      <w:r w:rsidR="007C7C39">
        <w:rPr>
          <w:bCs/>
        </w:rPr>
        <w:t>ection, the Department shall not require evidence of a county zoning permit or approval of the municipal governing body in the case of replacement of anhydrous ammonia storage vessels of equal or less</w:t>
      </w:r>
      <w:r w:rsidR="00822311">
        <w:rPr>
          <w:bCs/>
        </w:rPr>
        <w:t>e</w:t>
      </w:r>
      <w:r w:rsidR="007C7C39">
        <w:rPr>
          <w:bCs/>
        </w:rPr>
        <w:t>r static volume</w:t>
      </w:r>
      <w:r w:rsidR="005E33F4">
        <w:rPr>
          <w:bCs/>
        </w:rPr>
        <w:t>.</w:t>
      </w:r>
    </w:p>
    <w:p w:rsidR="00726CE5" w:rsidRDefault="00726CE5" w:rsidP="00B570D7"/>
    <w:p w:rsidR="0011454D" w:rsidRPr="00FB4F8F" w:rsidRDefault="0011454D" w:rsidP="0011454D">
      <w:pPr>
        <w:widowControl w:val="0"/>
        <w:ind w:left="1440" w:hanging="720"/>
        <w:rPr>
          <w:bCs/>
        </w:rPr>
      </w:pPr>
      <w:r w:rsidRPr="00FB4F8F">
        <w:rPr>
          <w:bCs/>
        </w:rPr>
        <w:t>f)</w:t>
      </w:r>
      <w:r w:rsidR="00B425EC">
        <w:rPr>
          <w:bCs/>
        </w:rPr>
        <w:tab/>
      </w:r>
      <w:r w:rsidRPr="00FB4F8F">
        <w:rPr>
          <w:bCs/>
        </w:rPr>
        <w:t xml:space="preserve">A nurse tank of not more than </w:t>
      </w:r>
      <w:r w:rsidR="00B570D7">
        <w:rPr>
          <w:bCs/>
        </w:rPr>
        <w:t>3000</w:t>
      </w:r>
      <w:r w:rsidRPr="00FB4F8F">
        <w:rPr>
          <w:bCs/>
        </w:rPr>
        <w:t xml:space="preserve"> gallons or less than </w:t>
      </w:r>
      <w:r w:rsidR="00B570D7">
        <w:rPr>
          <w:bCs/>
        </w:rPr>
        <w:t>1000</w:t>
      </w:r>
      <w:r w:rsidRPr="00FB4F8F">
        <w:rPr>
          <w:bCs/>
        </w:rPr>
        <w:t xml:space="preserve"> gallons water capacity may be used as temporary storage in instances where anhydrous ammonia is used in the manufacturing of liquid or suspension fertilizers provided </w:t>
      </w:r>
      <w:r w:rsidRPr="00FB4F8F">
        <w:rPr>
          <w:bCs/>
        </w:rPr>
        <w:lastRenderedPageBreak/>
        <w:t>that written approval of the municipality’s governing board or a county zoning permit shall be submitted to the Department before site approval will be given.  Approval will be given based upon compliance with the requirement of this</w:t>
      </w:r>
      <w:r w:rsidR="006A2728">
        <w:rPr>
          <w:bCs/>
        </w:rPr>
        <w:t xml:space="preserve"> subsection (f)</w:t>
      </w:r>
      <w:r w:rsidRPr="00FB4F8F">
        <w:rPr>
          <w:bCs/>
        </w:rPr>
        <w:t>.  The distance of the temporary storage nurse tank shall not be less than 50 feet from the property line or source of drinking water, not less than 200 feet from existing places of private or public assembly, or not less than 750 feet from any place of institutional occupancy.  The draw bar must be securely fastened to an anchoring device so as to render the nurse tank immovable while being used in the manufacturing of fertilizer.   During the time the site is unattended, all liquid and vapor valves must be plugged or capped.</w:t>
      </w:r>
    </w:p>
    <w:p w:rsidR="00726CE5" w:rsidRDefault="00726CE5" w:rsidP="00B570D7"/>
    <w:p w:rsidR="0011454D" w:rsidRPr="00FB4F8F" w:rsidRDefault="0011454D" w:rsidP="0011454D">
      <w:pPr>
        <w:widowControl w:val="0"/>
        <w:ind w:left="1440" w:hanging="720"/>
        <w:rPr>
          <w:bCs/>
        </w:rPr>
      </w:pPr>
      <w:r w:rsidRPr="00FB4F8F">
        <w:rPr>
          <w:bCs/>
        </w:rPr>
        <w:t>g)</w:t>
      </w:r>
      <w:r w:rsidR="00B425EC">
        <w:rPr>
          <w:bCs/>
        </w:rPr>
        <w:tab/>
      </w:r>
      <w:r w:rsidRPr="00FB4F8F">
        <w:rPr>
          <w:bCs/>
        </w:rPr>
        <w:t>Container storage areas shall be accessible to emergency vehicles and personnel.</w:t>
      </w:r>
    </w:p>
    <w:p w:rsidR="00726CE5" w:rsidRDefault="00726CE5" w:rsidP="00B570D7"/>
    <w:p w:rsidR="0011454D" w:rsidRPr="00FB4F8F" w:rsidRDefault="0011454D" w:rsidP="0011454D">
      <w:pPr>
        <w:widowControl w:val="0"/>
        <w:ind w:left="1440" w:hanging="720"/>
        <w:rPr>
          <w:bCs/>
        </w:rPr>
      </w:pPr>
      <w:r w:rsidRPr="00FB4F8F">
        <w:rPr>
          <w:bCs/>
        </w:rPr>
        <w:t>h)</w:t>
      </w:r>
      <w:r w:rsidR="00B425EC">
        <w:rPr>
          <w:bCs/>
        </w:rPr>
        <w:tab/>
      </w:r>
      <w:r w:rsidRPr="00FB4F8F">
        <w:rPr>
          <w:bCs/>
        </w:rPr>
        <w:t>Storage container areas shall be maintained clear of dry grass and weeds and other combustible materials.</w:t>
      </w:r>
    </w:p>
    <w:p w:rsidR="0011454D" w:rsidRDefault="0011454D" w:rsidP="00B570D7"/>
    <w:p w:rsidR="0011454D" w:rsidRDefault="00224D4B">
      <w:pPr>
        <w:pStyle w:val="JCARSourceNote"/>
        <w:ind w:firstLine="720"/>
      </w:pPr>
      <w:r>
        <w:t xml:space="preserve">(Source:  Amended at </w:t>
      </w:r>
      <w:r w:rsidR="007C7C39">
        <w:t>40</w:t>
      </w:r>
      <w:r>
        <w:t xml:space="preserve"> Ill. Reg. </w:t>
      </w:r>
      <w:r w:rsidR="00037998">
        <w:t>8704</w:t>
      </w:r>
      <w:r>
        <w:t xml:space="preserve">, effective </w:t>
      </w:r>
      <w:bookmarkStart w:id="0" w:name="_GoBack"/>
      <w:r w:rsidR="00037998">
        <w:t>July 1, 2016</w:t>
      </w:r>
      <w:bookmarkEnd w:id="0"/>
      <w:r>
        <w:t>)</w:t>
      </w:r>
    </w:p>
    <w:sectPr w:rsidR="0011454D" w:rsidSect="00C034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34FF"/>
    <w:rsid w:val="000300C7"/>
    <w:rsid w:val="00037998"/>
    <w:rsid w:val="00067599"/>
    <w:rsid w:val="000A204C"/>
    <w:rsid w:val="0011454D"/>
    <w:rsid w:val="001678D1"/>
    <w:rsid w:val="00224D4B"/>
    <w:rsid w:val="002A6C0D"/>
    <w:rsid w:val="003C115E"/>
    <w:rsid w:val="00572374"/>
    <w:rsid w:val="005C2A76"/>
    <w:rsid w:val="005E33F4"/>
    <w:rsid w:val="006A2728"/>
    <w:rsid w:val="00726CE5"/>
    <w:rsid w:val="007C7C39"/>
    <w:rsid w:val="00822311"/>
    <w:rsid w:val="00A82834"/>
    <w:rsid w:val="00B06488"/>
    <w:rsid w:val="00B425EC"/>
    <w:rsid w:val="00B570D7"/>
    <w:rsid w:val="00B87B9B"/>
    <w:rsid w:val="00BC4CDB"/>
    <w:rsid w:val="00BF1FCC"/>
    <w:rsid w:val="00C034FF"/>
    <w:rsid w:val="00EB1DD8"/>
    <w:rsid w:val="00F0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21642D-BDB9-4AC4-ABD6-FF0C1DB0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454D"/>
    <w:pPr>
      <w:tabs>
        <w:tab w:val="center" w:pos="4320"/>
        <w:tab w:val="right" w:pos="8640"/>
      </w:tabs>
    </w:pPr>
    <w:rPr>
      <w:szCs w:val="20"/>
    </w:rPr>
  </w:style>
  <w:style w:type="paragraph" w:customStyle="1" w:styleId="Level1">
    <w:name w:val="Level 1"/>
    <w:basedOn w:val="Normal"/>
    <w:rsid w:val="0011454D"/>
    <w:pPr>
      <w:widowControl w:val="0"/>
    </w:pPr>
    <w:rPr>
      <w:szCs w:val="20"/>
    </w:rPr>
  </w:style>
  <w:style w:type="paragraph" w:customStyle="1" w:styleId="JCARSourceNote">
    <w:name w:val="JCAR Source Note"/>
    <w:basedOn w:val="Normal"/>
    <w:rsid w:val="00114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3</cp:revision>
  <dcterms:created xsi:type="dcterms:W3CDTF">2016-06-13T15:55:00Z</dcterms:created>
  <dcterms:modified xsi:type="dcterms:W3CDTF">2016-06-30T18:57:00Z</dcterms:modified>
</cp:coreProperties>
</file>