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70189E" w:rsidRDefault="0070189E" w:rsidP="00573770">
      <w:r>
        <w:rPr>
          <w:b/>
        </w:rPr>
        <w:t>Section 125.148  Quantity of Contents Labeling and Procedures and Requirements for Accurate Weights</w:t>
      </w:r>
    </w:p>
    <w:p w:rsidR="0070189E" w:rsidRDefault="0070189E" w:rsidP="00573770"/>
    <w:p w:rsidR="0070189E" w:rsidRDefault="0070189E" w:rsidP="00573770">
      <w:r>
        <w:t>The Department incorporates by reference 9 CFR 442 (2008).</w:t>
      </w:r>
    </w:p>
    <w:p w:rsidR="0070189E" w:rsidRDefault="0070189E" w:rsidP="00573770"/>
    <w:p w:rsidR="0070189E" w:rsidRPr="0070189E" w:rsidRDefault="0070189E" w:rsidP="0070189E">
      <w:pPr>
        <w:ind w:left="720"/>
      </w:pPr>
      <w:r>
        <w:t xml:space="preserve">(Source:  Added by peremptory rulemaking at 32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</w:t>
      </w:r>
      <w:r w:rsidR="00AC59BB">
        <w:t>17831</w:t>
      </w:r>
      <w:r>
        <w:t>, effective October 30, 2008)</w:t>
      </w:r>
    </w:p>
    <w:sectPr w:rsidR="0070189E" w:rsidRPr="007018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A8" w:rsidRDefault="00417EA8">
      <w:r>
        <w:separator/>
      </w:r>
    </w:p>
  </w:endnote>
  <w:endnote w:type="continuationSeparator" w:id="0">
    <w:p w:rsidR="00417EA8" w:rsidRDefault="0041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A8" w:rsidRDefault="00417EA8">
      <w:r>
        <w:separator/>
      </w:r>
    </w:p>
  </w:footnote>
  <w:footnote w:type="continuationSeparator" w:id="0">
    <w:p w:rsidR="00417EA8" w:rsidRDefault="0041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BEF"/>
    <w:rsid w:val="00001F1D"/>
    <w:rsid w:val="00003CEF"/>
    <w:rsid w:val="00011A7D"/>
    <w:rsid w:val="000122C7"/>
    <w:rsid w:val="000158C8"/>
    <w:rsid w:val="00023902"/>
    <w:rsid w:val="00023DDC"/>
    <w:rsid w:val="00024942"/>
    <w:rsid w:val="00025CAC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0F9E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3B44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17EA8"/>
    <w:rsid w:val="00420E63"/>
    <w:rsid w:val="004218A0"/>
    <w:rsid w:val="00423B74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2846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1905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189E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37EEF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C4380"/>
    <w:rsid w:val="007C4EE5"/>
    <w:rsid w:val="007C5CEF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73BEF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59BB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A4BC6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B41C4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