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7C" w:rsidRDefault="00604B7C" w:rsidP="00604B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B7C" w:rsidRDefault="00604B7C" w:rsidP="00604B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55.30  Classification of Flock</w:t>
      </w:r>
      <w:r>
        <w:t xml:space="preserve"> </w:t>
      </w:r>
    </w:p>
    <w:p w:rsidR="00604B7C" w:rsidRDefault="00604B7C" w:rsidP="00604B7C">
      <w:pPr>
        <w:widowControl w:val="0"/>
        <w:autoSpaceDE w:val="0"/>
        <w:autoSpaceDN w:val="0"/>
        <w:adjustRightInd w:val="0"/>
      </w:pPr>
    </w:p>
    <w:p w:rsidR="00604B7C" w:rsidRDefault="00604B7C" w:rsidP="00604B7C">
      <w:pPr>
        <w:widowControl w:val="0"/>
        <w:autoSpaceDE w:val="0"/>
        <w:autoSpaceDN w:val="0"/>
        <w:adjustRightInd w:val="0"/>
      </w:pPr>
      <w:r>
        <w:t xml:space="preserve">If a reactor is found on the stained-antigen, rapid, whole-blood test for pullorum-typhoid, this shall be verified by submitting the reactor bird or birds (up to a maximum of 4 birds) to an approved laboratory for examination; laboratory results will be used to determine whether a flock is classified as clean or infected. </w:t>
      </w:r>
    </w:p>
    <w:p w:rsidR="00604B7C" w:rsidRDefault="00604B7C" w:rsidP="00604B7C">
      <w:pPr>
        <w:widowControl w:val="0"/>
        <w:autoSpaceDE w:val="0"/>
        <w:autoSpaceDN w:val="0"/>
        <w:adjustRightInd w:val="0"/>
      </w:pPr>
    </w:p>
    <w:p w:rsidR="00604B7C" w:rsidRDefault="00604B7C" w:rsidP="00604B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5929, effective April 23, 1984) </w:t>
      </w:r>
    </w:p>
    <w:sectPr w:rsidR="00604B7C" w:rsidSect="00604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B7C"/>
    <w:rsid w:val="001678D1"/>
    <w:rsid w:val="00604B7C"/>
    <w:rsid w:val="007E3E0C"/>
    <w:rsid w:val="00D859AB"/>
    <w:rsid w:val="00D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