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01" w:rsidRDefault="00416101" w:rsidP="004161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101" w:rsidRDefault="00416101" w:rsidP="004161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3.120  Dispute of Claims by Licensee/Registrant</w:t>
      </w:r>
      <w:r>
        <w:t xml:space="preserve"> </w:t>
      </w:r>
    </w:p>
    <w:p w:rsidR="00416101" w:rsidRDefault="00416101" w:rsidP="00416101">
      <w:pPr>
        <w:widowControl w:val="0"/>
        <w:autoSpaceDE w:val="0"/>
        <w:autoSpaceDN w:val="0"/>
        <w:adjustRightInd w:val="0"/>
      </w:pPr>
    </w:p>
    <w:p w:rsidR="00416101" w:rsidRDefault="00416101" w:rsidP="00416101">
      <w:pPr>
        <w:widowControl w:val="0"/>
        <w:autoSpaceDE w:val="0"/>
        <w:autoSpaceDN w:val="0"/>
        <w:adjustRightInd w:val="0"/>
      </w:pPr>
      <w:r>
        <w:t xml:space="preserve">In the event that the licensee/registrant fails to object to any of the valid claims (8 Ill. Adm. Code 1.315), the Trustee shall distribute the trust funds in accordance with 8 Ill. Adm. Code 3.130. The final administrative decision (see 8 Ill. Adm. Code 1.77(f) and 1.124) shall be subject to judicial review in accordance with the Administrative Review Law [735 ILCS 5/Art. III]. </w:t>
      </w:r>
    </w:p>
    <w:p w:rsidR="00416101" w:rsidRDefault="00416101" w:rsidP="00416101">
      <w:pPr>
        <w:widowControl w:val="0"/>
        <w:autoSpaceDE w:val="0"/>
        <w:autoSpaceDN w:val="0"/>
        <w:adjustRightInd w:val="0"/>
      </w:pPr>
    </w:p>
    <w:p w:rsidR="00416101" w:rsidRDefault="00416101" w:rsidP="004161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11698, effective June 25, 1998) </w:t>
      </w:r>
    </w:p>
    <w:sectPr w:rsidR="00416101" w:rsidSect="004161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101"/>
    <w:rsid w:val="000E108E"/>
    <w:rsid w:val="001678D1"/>
    <w:rsid w:val="00416101"/>
    <w:rsid w:val="004D4527"/>
    <w:rsid w:val="00E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</vt:lpstr>
    </vt:vector>
  </TitlesOfParts>
  <Company>State of Illinois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