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76" w:rsidRDefault="00042176" w:rsidP="000421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176" w:rsidRDefault="00042176" w:rsidP="000421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1.290  Alternative Proposals</w:t>
      </w:r>
      <w:r>
        <w:t xml:space="preserve"> </w:t>
      </w:r>
    </w:p>
    <w:p w:rsidR="00042176" w:rsidRDefault="00042176" w:rsidP="00042176">
      <w:pPr>
        <w:widowControl w:val="0"/>
        <w:autoSpaceDE w:val="0"/>
        <w:autoSpaceDN w:val="0"/>
        <w:adjustRightInd w:val="0"/>
      </w:pPr>
    </w:p>
    <w:p w:rsidR="00042176" w:rsidRDefault="00042176" w:rsidP="00042176">
      <w:pPr>
        <w:widowControl w:val="0"/>
        <w:autoSpaceDE w:val="0"/>
        <w:autoSpaceDN w:val="0"/>
        <w:adjustRightInd w:val="0"/>
      </w:pPr>
      <w:r>
        <w:t xml:space="preserve">The Department may propose alternative proposals in order to obtain comments on different proposals. </w:t>
      </w:r>
    </w:p>
    <w:sectPr w:rsidR="00042176" w:rsidSect="000421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176"/>
    <w:rsid w:val="00042176"/>
    <w:rsid w:val="001678D1"/>
    <w:rsid w:val="00174AA8"/>
    <w:rsid w:val="005A363D"/>
    <w:rsid w:val="00DA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