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B7" w:rsidRPr="00DE4EB7" w:rsidRDefault="00DE4EB7" w:rsidP="00DE4E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E4EB7">
        <w:t>TITLE 4:  DISCRIMINATION PROCEDURES</w:t>
      </w:r>
    </w:p>
    <w:sectPr w:rsidR="00DE4EB7" w:rsidRPr="00DE4E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93" w:rsidRDefault="00893E93">
      <w:r>
        <w:separator/>
      </w:r>
    </w:p>
  </w:endnote>
  <w:endnote w:type="continuationSeparator" w:id="0">
    <w:p w:rsidR="00893E93" w:rsidRDefault="0089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93" w:rsidRDefault="00893E93">
      <w:r>
        <w:separator/>
      </w:r>
    </w:p>
  </w:footnote>
  <w:footnote w:type="continuationSeparator" w:id="0">
    <w:p w:rsidR="00893E93" w:rsidRDefault="0089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EB7"/>
    <w:rsid w:val="00001093"/>
    <w:rsid w:val="00001F1D"/>
    <w:rsid w:val="00003CEF"/>
    <w:rsid w:val="00011A7D"/>
    <w:rsid w:val="000122C7"/>
    <w:rsid w:val="000158C8"/>
    <w:rsid w:val="00023902"/>
    <w:rsid w:val="00023DDC"/>
    <w:rsid w:val="00024942"/>
    <w:rsid w:val="00025CB0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3E9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4B6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4EB7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7F5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20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