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20" w:rsidRDefault="00F47120" w:rsidP="00F471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7120" w:rsidRDefault="00F47120" w:rsidP="00F4712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90907">
        <w:rPr>
          <w:b/>
          <w:bCs/>
        </w:rPr>
        <w:t>1000</w:t>
      </w:r>
      <w:r>
        <w:rPr>
          <w:b/>
          <w:bCs/>
        </w:rPr>
        <w:t>.70  Case-by-Case Resolution</w:t>
      </w:r>
      <w:r>
        <w:t xml:space="preserve"> </w:t>
      </w:r>
    </w:p>
    <w:p w:rsidR="00F47120" w:rsidRDefault="00F47120" w:rsidP="00F47120">
      <w:pPr>
        <w:widowControl w:val="0"/>
        <w:autoSpaceDE w:val="0"/>
        <w:autoSpaceDN w:val="0"/>
        <w:adjustRightInd w:val="0"/>
      </w:pPr>
    </w:p>
    <w:p w:rsidR="00F47120" w:rsidRDefault="00F47120" w:rsidP="00F47120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and, whether an accommodation would constitute a fundamental alteration to the program, service or activity or undue hardship on the Agency.  Accordingly, termination of a grievance at any Level, whether through the granting of relief or otherwise, shall not constitute a precedent on which any other Complainants should rely. </w:t>
      </w:r>
    </w:p>
    <w:sectPr w:rsidR="00F47120" w:rsidSect="00F47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120"/>
    <w:rsid w:val="001678D1"/>
    <w:rsid w:val="0028165F"/>
    <w:rsid w:val="006C5DA3"/>
    <w:rsid w:val="00A90907"/>
    <w:rsid w:val="00D33968"/>
    <w:rsid w:val="00F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