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DD" w:rsidRDefault="009F39DD" w:rsidP="009F39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39DD" w:rsidRDefault="009F39DD" w:rsidP="009F39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925.160  Case-by-Case Resolution</w:t>
      </w:r>
      <w:r>
        <w:t xml:space="preserve"> </w:t>
      </w:r>
    </w:p>
    <w:p w:rsidR="009F39DD" w:rsidRDefault="009F39DD" w:rsidP="009F39DD">
      <w:pPr>
        <w:widowControl w:val="0"/>
        <w:autoSpaceDE w:val="0"/>
        <w:autoSpaceDN w:val="0"/>
        <w:adjustRightInd w:val="0"/>
      </w:pPr>
    </w:p>
    <w:p w:rsidR="009F39DD" w:rsidRDefault="009F39DD" w:rsidP="009F39DD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 but is not limited to:  the specific nature of the disability; the essential eligibility requirements, the benefits to be derived, and the nature of the service, program, or activity at issue; the health and safety of others; and whether an accommodation would constitute a fundamental alteration to the program, service, or activity or undue hardship on the Agency.  Accordingly, termination of a grievance at any level, whether through the granting of relief or otherwise, shall not constitute a precedent on which any other complainants should rely. </w:t>
      </w:r>
    </w:p>
    <w:sectPr w:rsidR="009F39DD" w:rsidSect="009F39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9DD"/>
    <w:rsid w:val="000B7BB8"/>
    <w:rsid w:val="00130DB0"/>
    <w:rsid w:val="001678D1"/>
    <w:rsid w:val="00682DBF"/>
    <w:rsid w:val="009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925</vt:lpstr>
    </vt:vector>
  </TitlesOfParts>
  <Company>state of illinois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925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