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FA" w:rsidRDefault="00187EFA" w:rsidP="00187E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7EFA" w:rsidRDefault="00187EFA" w:rsidP="00187E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300.70  Case-by-case Resolution</w:t>
      </w:r>
      <w:r>
        <w:t xml:space="preserve"> </w:t>
      </w:r>
    </w:p>
    <w:p w:rsidR="00187EFA" w:rsidRDefault="00187EFA" w:rsidP="00187EFA">
      <w:pPr>
        <w:widowControl w:val="0"/>
        <w:autoSpaceDE w:val="0"/>
        <w:autoSpaceDN w:val="0"/>
        <w:adjustRightInd w:val="0"/>
      </w:pPr>
    </w:p>
    <w:p w:rsidR="00187EFA" w:rsidRDefault="00187EFA" w:rsidP="00187EFA">
      <w:pPr>
        <w:widowControl w:val="0"/>
        <w:autoSpaceDE w:val="0"/>
        <w:autoSpaceDN w:val="0"/>
        <w:adjustRightInd w:val="0"/>
      </w:pPr>
      <w:r>
        <w:t xml:space="preserve">Each grievance involves a unique set of factors that includes but is not limited to: the specific nature of the disability; the essential eligibility requirements, the benefits to be derived, the nature of the service, program or activity; the health and safety of others; and whether an accommodation would constitute a fundamental alteration to the program, service or activity or undue hardship on DHS.  Accordingly, termination of a grievance at any level, whether through the granting of relief or otherwise, shall not constitute a precedent on which any other Complainants should rely. </w:t>
      </w:r>
    </w:p>
    <w:sectPr w:rsidR="00187EFA" w:rsidSect="00187E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7EFA"/>
    <w:rsid w:val="001678D1"/>
    <w:rsid w:val="00187EFA"/>
    <w:rsid w:val="00441CE0"/>
    <w:rsid w:val="008F4021"/>
    <w:rsid w:val="00A9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