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85" w:rsidRDefault="00162985" w:rsidP="001629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985" w:rsidRDefault="00162985" w:rsidP="001629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5100.220  Organizational Chart</w:t>
      </w:r>
      <w:r>
        <w:t xml:space="preserve"> </w:t>
      </w:r>
    </w:p>
    <w:p w:rsidR="00162985" w:rsidRDefault="00162985" w:rsidP="00162985">
      <w:pPr>
        <w:widowControl w:val="0"/>
        <w:autoSpaceDE w:val="0"/>
        <w:autoSpaceDN w:val="0"/>
        <w:adjustRightInd w:val="0"/>
      </w:pPr>
    </w:p>
    <w:p w:rsidR="00162985" w:rsidRDefault="00162985" w:rsidP="00162985">
      <w:pPr>
        <w:widowControl w:val="0"/>
        <w:autoSpaceDE w:val="0"/>
        <w:autoSpaceDN w:val="0"/>
        <w:adjustRightInd w:val="0"/>
      </w:pPr>
      <w:r>
        <w:t xml:space="preserve">State Community College of East St. Louis shall have an organizational chart approved by the State Community College Board. </w:t>
      </w:r>
    </w:p>
    <w:sectPr w:rsidR="00162985" w:rsidSect="00162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985"/>
    <w:rsid w:val="00162985"/>
    <w:rsid w:val="001678D1"/>
    <w:rsid w:val="004D20AA"/>
    <w:rsid w:val="00511DA8"/>
    <w:rsid w:val="00B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