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2C" w:rsidRDefault="00D85E2C" w:rsidP="00D85E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E2C" w:rsidRDefault="00D85E2C" w:rsidP="00D85E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2950.240  Unspecified Matters</w:t>
      </w:r>
      <w:r>
        <w:t xml:space="preserve"> </w:t>
      </w:r>
    </w:p>
    <w:p w:rsidR="00D85E2C" w:rsidRDefault="00D85E2C" w:rsidP="00D85E2C">
      <w:pPr>
        <w:widowControl w:val="0"/>
        <w:autoSpaceDE w:val="0"/>
        <w:autoSpaceDN w:val="0"/>
        <w:adjustRightInd w:val="0"/>
      </w:pPr>
    </w:p>
    <w:p w:rsidR="00D85E2C" w:rsidRDefault="00D85E2C" w:rsidP="00D85E2C">
      <w:pPr>
        <w:widowControl w:val="0"/>
        <w:autoSpaceDE w:val="0"/>
        <w:autoSpaceDN w:val="0"/>
        <w:adjustRightInd w:val="0"/>
      </w:pPr>
      <w:r>
        <w:t xml:space="preserve">All matters not specified by this Part shall be governed by the Act, the FOIA, the Open Meetings Act, [5 ILCS 120/1.01 et seq.] the Illinois Administrative Procedure Act [5 ILCS 100/5-15], and the latest edition of Robert's Rules of Order whenever applicable. </w:t>
      </w:r>
    </w:p>
    <w:p w:rsidR="00D85E2C" w:rsidRDefault="00D85E2C" w:rsidP="00D85E2C">
      <w:pPr>
        <w:widowControl w:val="0"/>
        <w:autoSpaceDE w:val="0"/>
        <w:autoSpaceDN w:val="0"/>
        <w:adjustRightInd w:val="0"/>
      </w:pPr>
    </w:p>
    <w:p w:rsidR="00D85E2C" w:rsidRDefault="00D85E2C" w:rsidP="00D85E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8684, effective May 25, 1994) </w:t>
      </w:r>
    </w:p>
    <w:sectPr w:rsidR="00D85E2C" w:rsidSect="00D85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E2C"/>
    <w:rsid w:val="001678D1"/>
    <w:rsid w:val="00243707"/>
    <w:rsid w:val="008823F4"/>
    <w:rsid w:val="009D564D"/>
    <w:rsid w:val="00D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