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30C" w:rsidRDefault="0044630C" w:rsidP="004463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630C" w:rsidRDefault="0044630C" w:rsidP="0044630C">
      <w:pPr>
        <w:widowControl w:val="0"/>
        <w:autoSpaceDE w:val="0"/>
        <w:autoSpaceDN w:val="0"/>
        <w:adjustRightInd w:val="0"/>
      </w:pPr>
      <w:r>
        <w:t xml:space="preserve">AUTHORITY:  Subparts A, B, and C are implementing and authorized by Section 5-15 of the Illinois Administrative Procedure Act (Ill. Rev. Stat. 1991, ch. 127, par. 1005-15).  Subpart D is implementing and authorized by the Freedom of Information Act (Ill. Rev. Stat. 1991, ch. 116, par. 201 et seq.) </w:t>
      </w:r>
    </w:p>
    <w:sectPr w:rsidR="0044630C" w:rsidSect="004463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630C"/>
    <w:rsid w:val="001678D1"/>
    <w:rsid w:val="00283A69"/>
    <w:rsid w:val="0044630C"/>
    <w:rsid w:val="00B329AF"/>
    <w:rsid w:val="00E1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Subparts A, B, and C are implementing and authorized by Section 5-15 of the Illinois Administrative Procedure Act </vt:lpstr>
    </vt:vector>
  </TitlesOfParts>
  <Company>State of Illinois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Subparts A, B, and C are implementing and authorized by Section 5-15 of the Illinois Administrative Procedure Act 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