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9E7" w:rsidRDefault="003679E7" w:rsidP="003679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79E7" w:rsidRDefault="003679E7" w:rsidP="003679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1750.370  Unspecified Matters</w:t>
      </w:r>
      <w:r>
        <w:t xml:space="preserve"> </w:t>
      </w:r>
    </w:p>
    <w:p w:rsidR="003679E7" w:rsidRDefault="003679E7" w:rsidP="003679E7">
      <w:pPr>
        <w:widowControl w:val="0"/>
        <w:autoSpaceDE w:val="0"/>
        <w:autoSpaceDN w:val="0"/>
        <w:adjustRightInd w:val="0"/>
      </w:pPr>
    </w:p>
    <w:p w:rsidR="003679E7" w:rsidRDefault="003679E7" w:rsidP="003679E7">
      <w:pPr>
        <w:widowControl w:val="0"/>
        <w:autoSpaceDE w:val="0"/>
        <w:autoSpaceDN w:val="0"/>
        <w:adjustRightInd w:val="0"/>
      </w:pPr>
      <w:r>
        <w:t xml:space="preserve">All matters not specified by these Organizational Rules shall be governed by Executive Order Number (82-2), dated April 1, 1982, the Illinois Criminal Justice Information Act [20 ILCS 3930], the Open Meetings Act [5 ILCS 120], the Illinois Administrative Procedure [5 ILCS 100], and the latest edition of Robert's Rules of Order whenever applicable. </w:t>
      </w:r>
    </w:p>
    <w:p w:rsidR="003679E7" w:rsidRDefault="003679E7" w:rsidP="003679E7">
      <w:pPr>
        <w:widowControl w:val="0"/>
        <w:autoSpaceDE w:val="0"/>
        <w:autoSpaceDN w:val="0"/>
        <w:adjustRightInd w:val="0"/>
      </w:pPr>
    </w:p>
    <w:p w:rsidR="003679E7" w:rsidRDefault="003679E7" w:rsidP="003679E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5650, effective March 20, 2000) </w:t>
      </w:r>
    </w:p>
    <w:sectPr w:rsidR="003679E7" w:rsidSect="003679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79E7"/>
    <w:rsid w:val="000148EA"/>
    <w:rsid w:val="001678D1"/>
    <w:rsid w:val="003679E7"/>
    <w:rsid w:val="00BA54B5"/>
    <w:rsid w:val="00EC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1750</vt:lpstr>
    </vt:vector>
  </TitlesOfParts>
  <Company>state of illinois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1750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