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11" w:rsidRDefault="00C73911" w:rsidP="00C73911">
      <w:pPr>
        <w:rPr>
          <w:b/>
        </w:rPr>
      </w:pPr>
    </w:p>
    <w:p w:rsidR="00C73911" w:rsidRPr="0046101A" w:rsidRDefault="00C73911" w:rsidP="00C73911">
      <w:pPr>
        <w:rPr>
          <w:b/>
        </w:rPr>
      </w:pPr>
      <w:r w:rsidRPr="0046101A">
        <w:rPr>
          <w:b/>
        </w:rPr>
        <w:t>Section</w:t>
      </w:r>
      <w:r w:rsidRPr="00C73911">
        <w:t xml:space="preserve"> </w:t>
      </w:r>
      <w:r w:rsidRPr="0046101A">
        <w:rPr>
          <w:b/>
        </w:rPr>
        <w:t>1620.1350</w:t>
      </w:r>
      <w:r w:rsidRPr="00C73911">
        <w:t xml:space="preserve">  </w:t>
      </w:r>
      <w:r w:rsidRPr="0046101A">
        <w:rPr>
          <w:b/>
        </w:rPr>
        <w:t>Sufficiency of the Complaint</w:t>
      </w:r>
    </w:p>
    <w:p w:rsidR="00C73911" w:rsidRPr="0046101A" w:rsidRDefault="00C73911" w:rsidP="00C73911"/>
    <w:p w:rsidR="00C73911" w:rsidRPr="0046101A" w:rsidRDefault="003B4522" w:rsidP="003B4522">
      <w:pPr>
        <w:ind w:left="1440" w:hanging="720"/>
      </w:pPr>
      <w:r>
        <w:t>a)</w:t>
      </w:r>
      <w:r>
        <w:tab/>
      </w:r>
      <w:r w:rsidR="00C73911" w:rsidRPr="0046101A">
        <w:t xml:space="preserve">Within 60 days after the time for respondent to file an objection to the complaint has expired, the Commission shall meet in person or by telephone in a closed session to review the sufficiency of the complaint.  If the Commission finds that the complaint is sufficient, the Commission shall notify the parties via certified mail, return receipt requested, of the decision.  The notice shall include an evidentiary hearing date scheduled within four weeks after the date of the notice.  The Commission may grant, for good cause shown, a continuance of the evidentiary hearing date contained in the notice.  If the Commission finds that the complaint is insufficient for any reason, the Commission shall notify the parties via certified mail, return receipt requested, of the decision.  </w:t>
      </w:r>
    </w:p>
    <w:p w:rsidR="00C73911" w:rsidRPr="0046101A" w:rsidRDefault="00C73911" w:rsidP="00C73911"/>
    <w:p w:rsidR="00C73911" w:rsidRPr="0046101A" w:rsidRDefault="003B4522" w:rsidP="005053E9">
      <w:pPr>
        <w:ind w:left="1440" w:hanging="720"/>
        <w:rPr>
          <w:bCs/>
        </w:rPr>
      </w:pPr>
      <w:r>
        <w:t>b)</w:t>
      </w:r>
      <w:r>
        <w:tab/>
      </w:r>
      <w:r w:rsidR="00C73911" w:rsidRPr="0046101A">
        <w:t>A complaint is sufficient if it complies with Section</w:t>
      </w:r>
      <w:r w:rsidR="00C73911" w:rsidRPr="0046101A">
        <w:rPr>
          <w:b/>
          <w:bCs/>
        </w:rPr>
        <w:t xml:space="preserve"> </w:t>
      </w:r>
      <w:r w:rsidR="00C73911" w:rsidRPr="0046101A">
        <w:rPr>
          <w:bCs/>
        </w:rPr>
        <w:t>1620.1330  and if it contains allegations of fact</w:t>
      </w:r>
      <w:r w:rsidR="00A65265">
        <w:rPr>
          <w:bCs/>
        </w:rPr>
        <w:t xml:space="preserve"> that</w:t>
      </w:r>
      <w:r w:rsidR="00C73911" w:rsidRPr="0046101A">
        <w:rPr>
          <w:bCs/>
        </w:rPr>
        <w:t>, if proven, constitute cause for discharge.</w:t>
      </w:r>
    </w:p>
    <w:p w:rsidR="001C71C2" w:rsidRDefault="001C71C2" w:rsidP="002C2703"/>
    <w:p w:rsidR="00C73911" w:rsidRPr="00D55B37" w:rsidRDefault="00C73911">
      <w:pPr>
        <w:pStyle w:val="JCARSourceNote"/>
        <w:ind w:left="720"/>
      </w:pPr>
      <w:r w:rsidRPr="00D55B37">
        <w:t xml:space="preserve">(Source:  Added at </w:t>
      </w:r>
      <w:r>
        <w:t>36</w:t>
      </w:r>
      <w:r w:rsidRPr="00D55B37">
        <w:t xml:space="preserve"> Ill. Reg. </w:t>
      </w:r>
      <w:r w:rsidR="007D1A6B">
        <w:t>13826</w:t>
      </w:r>
      <w:r w:rsidRPr="00D55B37">
        <w:t xml:space="preserve">, effective </w:t>
      </w:r>
      <w:bookmarkStart w:id="0" w:name="_GoBack"/>
      <w:r w:rsidR="007D1A6B">
        <w:t>August 21, 2012</w:t>
      </w:r>
      <w:bookmarkEnd w:id="0"/>
      <w:r w:rsidRPr="00D55B37">
        <w:t>)</w:t>
      </w:r>
    </w:p>
    <w:sectPr w:rsidR="00C7391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EB1" w:rsidRDefault="000B3EB1">
      <w:r>
        <w:separator/>
      </w:r>
    </w:p>
  </w:endnote>
  <w:endnote w:type="continuationSeparator" w:id="0">
    <w:p w:rsidR="000B3EB1" w:rsidRDefault="000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EB1" w:rsidRDefault="000B3EB1">
      <w:r>
        <w:separator/>
      </w:r>
    </w:p>
  </w:footnote>
  <w:footnote w:type="continuationSeparator" w:id="0">
    <w:p w:rsidR="000B3EB1" w:rsidRDefault="000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2FD"/>
    <w:rsid w:val="00001F1D"/>
    <w:rsid w:val="00003CEF"/>
    <w:rsid w:val="00011A7D"/>
    <w:rsid w:val="000122C7"/>
    <w:rsid w:val="00014324"/>
    <w:rsid w:val="000158C8"/>
    <w:rsid w:val="00016F74"/>
    <w:rsid w:val="00022C0C"/>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3EB1"/>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4522"/>
    <w:rsid w:val="003B5138"/>
    <w:rsid w:val="003B78C5"/>
    <w:rsid w:val="003C07D2"/>
    <w:rsid w:val="003D0D44"/>
    <w:rsid w:val="003D12E4"/>
    <w:rsid w:val="003D4D4A"/>
    <w:rsid w:val="003F0EC8"/>
    <w:rsid w:val="003F2136"/>
    <w:rsid w:val="003F24E6"/>
    <w:rsid w:val="003F3A28"/>
    <w:rsid w:val="003F5FD7"/>
    <w:rsid w:val="003F60AF"/>
    <w:rsid w:val="00400A1E"/>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3E9"/>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12FD"/>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1A6B"/>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1D3"/>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6B3"/>
    <w:rsid w:val="00980ED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265"/>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911"/>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