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D785" w14:textId="77777777" w:rsidR="00E412C0" w:rsidRPr="00C17130" w:rsidRDefault="00E412C0" w:rsidP="00E412C0">
      <w:pPr>
        <w:rPr>
          <w:b/>
        </w:rPr>
      </w:pPr>
    </w:p>
    <w:p w14:paraId="4869E09C" w14:textId="77777777" w:rsidR="00E412C0" w:rsidRPr="00C17130" w:rsidRDefault="00E412C0" w:rsidP="00E412C0">
      <w:pPr>
        <w:rPr>
          <w:b/>
        </w:rPr>
      </w:pPr>
      <w:r w:rsidRPr="00C17130">
        <w:rPr>
          <w:b/>
        </w:rPr>
        <w:t xml:space="preserve">Section </w:t>
      </w:r>
      <w:proofErr w:type="gramStart"/>
      <w:r w:rsidRPr="00C17130">
        <w:rPr>
          <w:b/>
        </w:rPr>
        <w:t>1620.</w:t>
      </w:r>
      <w:r>
        <w:rPr>
          <w:b/>
        </w:rPr>
        <w:t>5</w:t>
      </w:r>
      <w:r w:rsidRPr="00C17130">
        <w:rPr>
          <w:b/>
        </w:rPr>
        <w:t>30</w:t>
      </w:r>
      <w:r>
        <w:rPr>
          <w:b/>
        </w:rPr>
        <w:t xml:space="preserve">  </w:t>
      </w:r>
      <w:r w:rsidRPr="00C17130">
        <w:rPr>
          <w:b/>
        </w:rPr>
        <w:t>Decision</w:t>
      </w:r>
      <w:proofErr w:type="gramEnd"/>
      <w:r w:rsidRPr="00C17130">
        <w:rPr>
          <w:b/>
        </w:rPr>
        <w:t xml:space="preserve"> of the Commission</w:t>
      </w:r>
      <w:r>
        <w:rPr>
          <w:b/>
        </w:rPr>
        <w:t xml:space="preserve"> </w:t>
      </w:r>
    </w:p>
    <w:p w14:paraId="20DA8B9A" w14:textId="77777777" w:rsidR="00E412C0" w:rsidRPr="00C17130" w:rsidRDefault="00E412C0" w:rsidP="00E412C0">
      <w:pPr>
        <w:rPr>
          <w:b/>
        </w:rPr>
      </w:pPr>
    </w:p>
    <w:p w14:paraId="7B2A5EFF" w14:textId="77777777" w:rsidR="00E412C0" w:rsidRDefault="00E412C0" w:rsidP="00E412C0">
      <w:pPr>
        <w:ind w:left="1440" w:hanging="720"/>
      </w:pPr>
      <w:r>
        <w:t>a)</w:t>
      </w:r>
      <w:r>
        <w:tab/>
        <w:t>Within 60 days after the hearing or after briefs are due, whichever is later, the Commission shall enter a decision.</w:t>
      </w:r>
    </w:p>
    <w:p w14:paraId="238B447D" w14:textId="77777777" w:rsidR="00E412C0" w:rsidRDefault="00E412C0" w:rsidP="00E412C0"/>
    <w:p w14:paraId="30CF3FF6" w14:textId="6D59B413" w:rsidR="00AA131B" w:rsidRDefault="00AA131B" w:rsidP="00D07BA1">
      <w:pPr>
        <w:ind w:left="1440" w:hanging="720"/>
      </w:pPr>
      <w:r w:rsidRPr="00F11B62">
        <w:t>b)</w:t>
      </w:r>
      <w:r w:rsidRPr="00F11B62">
        <w:tab/>
        <w:t xml:space="preserve">When the Commission is determining an appropriate fine pursuant to </w:t>
      </w:r>
      <w:r w:rsidR="00334FDF">
        <w:t xml:space="preserve">either </w:t>
      </w:r>
      <w:r w:rsidR="005B20FB">
        <w:t xml:space="preserve">Section </w:t>
      </w:r>
      <w:r w:rsidR="00334FDF">
        <w:t xml:space="preserve">20-90(d) or </w:t>
      </w:r>
      <w:r w:rsidRPr="00F11B62">
        <w:t xml:space="preserve">50-5 </w:t>
      </w:r>
      <w:r w:rsidR="005B20FB">
        <w:t xml:space="preserve">of the Act </w:t>
      </w:r>
      <w:r w:rsidRPr="00F11B62">
        <w:t>after a finding of liability, the Commission may consider the following mitigating and aggravating factors:</w:t>
      </w:r>
    </w:p>
    <w:p w14:paraId="19D57DF6" w14:textId="77777777" w:rsidR="005A7F2E" w:rsidRDefault="005A7F2E" w:rsidP="00885B06"/>
    <w:p w14:paraId="2E4E05AF" w14:textId="77777777" w:rsidR="005A7F2E" w:rsidRDefault="005A7F2E" w:rsidP="005A7F2E">
      <w:pPr>
        <w:ind w:left="720" w:firstLine="720"/>
      </w:pPr>
      <w:r>
        <w:t>1)</w:t>
      </w:r>
      <w:r>
        <w:tab/>
      </w:r>
      <w:r w:rsidRPr="00F11B62">
        <w:t>nature of violations</w:t>
      </w:r>
      <w:r>
        <w:t>;</w:t>
      </w:r>
    </w:p>
    <w:p w14:paraId="023CD0B6" w14:textId="77777777" w:rsidR="005A7F2E" w:rsidRPr="00F11B62" w:rsidRDefault="005A7F2E" w:rsidP="00885B06"/>
    <w:p w14:paraId="721F8A31" w14:textId="77777777" w:rsidR="005A7F2E" w:rsidRDefault="005A7F2E" w:rsidP="005A7F2E">
      <w:pPr>
        <w:ind w:left="720" w:firstLine="720"/>
      </w:pPr>
      <w:r>
        <w:t>2)</w:t>
      </w:r>
      <w:r>
        <w:tab/>
      </w:r>
      <w:r w:rsidRPr="00F11B62">
        <w:t>the scope of the violation or scheme of violations;</w:t>
      </w:r>
    </w:p>
    <w:p w14:paraId="3F055CDC" w14:textId="77777777" w:rsidR="005A7F2E" w:rsidRPr="00F11B62" w:rsidRDefault="005A7F2E" w:rsidP="00885B06"/>
    <w:p w14:paraId="4BC8336C" w14:textId="77777777" w:rsidR="005A7F2E" w:rsidRDefault="005A7F2E" w:rsidP="005A7F2E">
      <w:pPr>
        <w:ind w:left="720" w:firstLine="720"/>
      </w:pPr>
      <w:r>
        <w:t>3)</w:t>
      </w:r>
      <w:r>
        <w:tab/>
      </w:r>
      <w:r w:rsidRPr="00F11B62">
        <w:t>the use of title or position;</w:t>
      </w:r>
    </w:p>
    <w:p w14:paraId="5A69855B" w14:textId="77777777" w:rsidR="005A7F2E" w:rsidRPr="00F11B62" w:rsidRDefault="005A7F2E" w:rsidP="00885B06"/>
    <w:p w14:paraId="1D2DED12" w14:textId="77777777" w:rsidR="005A7F2E" w:rsidRDefault="005A7F2E" w:rsidP="005A7F2E">
      <w:pPr>
        <w:ind w:left="720" w:firstLine="720"/>
      </w:pPr>
      <w:r>
        <w:t>4)</w:t>
      </w:r>
      <w:r>
        <w:tab/>
      </w:r>
      <w:r w:rsidRPr="00F11B62">
        <w:t>the extent of the use of resources, money, time to the State;</w:t>
      </w:r>
    </w:p>
    <w:p w14:paraId="05EC8C6E" w14:textId="77777777" w:rsidR="005A7F2E" w:rsidRPr="00F11B62" w:rsidRDefault="005A7F2E" w:rsidP="00885B06"/>
    <w:p w14:paraId="5ED416F9" w14:textId="77777777" w:rsidR="005A7F2E" w:rsidRDefault="005A7F2E" w:rsidP="005A7F2E">
      <w:pPr>
        <w:ind w:left="2160" w:hanging="735"/>
      </w:pPr>
      <w:r>
        <w:t>5)</w:t>
      </w:r>
      <w:r>
        <w:tab/>
        <w:t>the extent of a respondent's intent or knowledge of the facts surrounding the violation;</w:t>
      </w:r>
    </w:p>
    <w:p w14:paraId="09824572" w14:textId="77777777" w:rsidR="005A7F2E" w:rsidRPr="00F11B62" w:rsidRDefault="005A7F2E" w:rsidP="00885B06"/>
    <w:p w14:paraId="65AEEAF9" w14:textId="77777777" w:rsidR="005A7F2E" w:rsidRDefault="005A7F2E" w:rsidP="005A7F2E">
      <w:pPr>
        <w:ind w:left="705" w:firstLine="720"/>
      </w:pPr>
      <w:r>
        <w:t>6)</w:t>
      </w:r>
      <w:r>
        <w:tab/>
      </w:r>
      <w:r w:rsidRPr="00F11B62">
        <w:t>premeditation;</w:t>
      </w:r>
    </w:p>
    <w:p w14:paraId="02793405" w14:textId="77777777" w:rsidR="005A7F2E" w:rsidRPr="00F11B62" w:rsidRDefault="005A7F2E" w:rsidP="00885B06"/>
    <w:p w14:paraId="7ECD43F5" w14:textId="77777777" w:rsidR="005A7F2E" w:rsidRDefault="005A7F2E" w:rsidP="005A7F2E">
      <w:pPr>
        <w:ind w:left="705" w:firstLine="720"/>
      </w:pPr>
      <w:r>
        <w:t>7)</w:t>
      </w:r>
      <w:r>
        <w:tab/>
      </w:r>
      <w:r w:rsidRPr="00F11B62">
        <w:t>the duration of any series of violations;</w:t>
      </w:r>
    </w:p>
    <w:p w14:paraId="23B50B4A" w14:textId="77777777" w:rsidR="005A7F2E" w:rsidRPr="00F11B62" w:rsidRDefault="005A7F2E" w:rsidP="00885B06"/>
    <w:p w14:paraId="737ED50B" w14:textId="77777777" w:rsidR="005A7F2E" w:rsidRDefault="005A7F2E" w:rsidP="005A7F2E">
      <w:pPr>
        <w:ind w:left="705" w:firstLine="720"/>
      </w:pPr>
      <w:r>
        <w:t>8)</w:t>
      </w:r>
      <w:r>
        <w:tab/>
      </w:r>
      <w:r w:rsidRPr="00F11B62">
        <w:t>position of authority;</w:t>
      </w:r>
    </w:p>
    <w:p w14:paraId="63C00BEB" w14:textId="77777777" w:rsidR="005A7F2E" w:rsidRPr="00F11B62" w:rsidRDefault="005A7F2E" w:rsidP="00885B06"/>
    <w:p w14:paraId="59961933" w14:textId="77777777" w:rsidR="005A7F2E" w:rsidRDefault="005A7F2E" w:rsidP="005A7F2E">
      <w:pPr>
        <w:ind w:left="705" w:firstLine="720"/>
      </w:pPr>
      <w:r>
        <w:t>9)</w:t>
      </w:r>
      <w:r>
        <w:tab/>
      </w:r>
      <w:r w:rsidRPr="00F11B62">
        <w:t>involvement of others</w:t>
      </w:r>
      <w:r w:rsidR="0059555B">
        <w:t>, especially other State employees</w:t>
      </w:r>
      <w:r w:rsidRPr="00F11B62">
        <w:t>;</w:t>
      </w:r>
    </w:p>
    <w:p w14:paraId="6E51A9C4" w14:textId="77777777" w:rsidR="005A7F2E" w:rsidRPr="00F11B62" w:rsidRDefault="005A7F2E" w:rsidP="00885B06"/>
    <w:p w14:paraId="0D915A29" w14:textId="77777777" w:rsidR="00AA7E69" w:rsidRDefault="005A7F2E" w:rsidP="00AA7E69">
      <w:pPr>
        <w:ind w:left="2160" w:hanging="849"/>
      </w:pPr>
      <w:r>
        <w:t>10)</w:t>
      </w:r>
      <w:r>
        <w:tab/>
      </w:r>
      <w:r w:rsidR="00AA7E69">
        <w:t>impact on an ongoing investigation or the operations of government;</w:t>
      </w:r>
    </w:p>
    <w:p w14:paraId="58C9195D" w14:textId="77777777" w:rsidR="00AA7E69" w:rsidRDefault="00AA7E69" w:rsidP="00885B06"/>
    <w:p w14:paraId="4D8CFF65" w14:textId="77777777" w:rsidR="00AA7E69" w:rsidRDefault="00AA7E69" w:rsidP="00AA7E69">
      <w:pPr>
        <w:ind w:left="2160" w:hanging="849"/>
      </w:pPr>
      <w:r>
        <w:t>11)</w:t>
      </w:r>
      <w:r>
        <w:tab/>
        <w:t>any impact statement submitted by a 20-63 Complainant;</w:t>
      </w:r>
    </w:p>
    <w:p w14:paraId="5B0C5AA9" w14:textId="77777777" w:rsidR="00AA7E69" w:rsidRDefault="00AA7E69" w:rsidP="00885B06"/>
    <w:p w14:paraId="4DEAC827" w14:textId="557686EB" w:rsidR="005A7F2E" w:rsidRDefault="00AA7E69" w:rsidP="00AA7E69">
      <w:pPr>
        <w:ind w:left="2160" w:hanging="849"/>
      </w:pPr>
      <w:r>
        <w:t>12)</w:t>
      </w:r>
      <w:r>
        <w:tab/>
      </w:r>
      <w:r w:rsidR="005A7F2E" w:rsidRPr="00F11B62">
        <w:t>self-disclosure;</w:t>
      </w:r>
    </w:p>
    <w:p w14:paraId="430D5510" w14:textId="77777777" w:rsidR="005A7F2E" w:rsidRDefault="005A7F2E" w:rsidP="00885B06"/>
    <w:p w14:paraId="718518EE" w14:textId="16D5EB32" w:rsidR="005A7F2E" w:rsidRDefault="00AA7E69" w:rsidP="005A7F2E">
      <w:pPr>
        <w:ind w:left="705" w:firstLine="606"/>
      </w:pPr>
      <w:r>
        <w:t>13</w:t>
      </w:r>
      <w:r w:rsidR="005A7F2E">
        <w:t>)</w:t>
      </w:r>
      <w:r w:rsidR="005A7F2E">
        <w:tab/>
      </w:r>
      <w:r w:rsidR="005A7F2E" w:rsidRPr="00F11B62">
        <w:t xml:space="preserve">cooperation; </w:t>
      </w:r>
    </w:p>
    <w:p w14:paraId="1A1A65AA" w14:textId="77777777" w:rsidR="0059555B" w:rsidRDefault="0059555B" w:rsidP="00885B06"/>
    <w:p w14:paraId="01BAE056" w14:textId="27AC8FBE" w:rsidR="0059555B" w:rsidRDefault="00AA7E69" w:rsidP="0059555B">
      <w:pPr>
        <w:ind w:left="2160" w:hanging="849"/>
      </w:pPr>
      <w:r>
        <w:t>14</w:t>
      </w:r>
      <w:r w:rsidR="0059555B">
        <w:t>)</w:t>
      </w:r>
      <w:r w:rsidR="0059555B">
        <w:tab/>
        <w:t>in the absences of substantial aggravating factors, a self-employed person's incident</w:t>
      </w:r>
      <w:r w:rsidR="006E29E3">
        <w:t>al</w:t>
      </w:r>
      <w:r w:rsidR="0059555B">
        <w:t xml:space="preserve"> business or employment matters that are not reported under Section 5-45(f) of the Act in a timely manner or involve subject matter not directly related to prior State employment and that entail monetary amounts of less than $5,000 are deemed to be offenses warranting a warning or minimal fine</w:t>
      </w:r>
      <w:r w:rsidR="006E29E3">
        <w:t>;</w:t>
      </w:r>
    </w:p>
    <w:p w14:paraId="793CF1D8" w14:textId="77777777" w:rsidR="005A7F2E" w:rsidRPr="00F11B62" w:rsidRDefault="005A7F2E" w:rsidP="00885B06"/>
    <w:p w14:paraId="3216EAED" w14:textId="562A3AF3" w:rsidR="005A7F2E" w:rsidRDefault="00AA7E69" w:rsidP="005A7F2E">
      <w:pPr>
        <w:ind w:left="705" w:firstLine="606"/>
      </w:pPr>
      <w:r>
        <w:t>15</w:t>
      </w:r>
      <w:r w:rsidR="005A7F2E">
        <w:t>)</w:t>
      </w:r>
      <w:r w:rsidR="005A7F2E">
        <w:tab/>
      </w:r>
      <w:r w:rsidR="005A7F2E" w:rsidRPr="00F11B62">
        <w:t>prior disciplinary record or Ethics Act violation; and</w:t>
      </w:r>
    </w:p>
    <w:p w14:paraId="343F4F74" w14:textId="77777777" w:rsidR="005A7F2E" w:rsidRPr="00F11B62" w:rsidRDefault="005A7F2E" w:rsidP="00885B06"/>
    <w:p w14:paraId="7BD7E84F" w14:textId="695E4829" w:rsidR="005A7F2E" w:rsidRDefault="00AA7E69" w:rsidP="005A7F2E">
      <w:pPr>
        <w:ind w:left="705" w:firstLine="606"/>
      </w:pPr>
      <w:r>
        <w:lastRenderedPageBreak/>
        <w:t>16</w:t>
      </w:r>
      <w:r w:rsidR="005A7F2E">
        <w:t>)</w:t>
      </w:r>
      <w:r w:rsidR="005A7F2E">
        <w:tab/>
      </w:r>
      <w:r w:rsidR="005A7F2E" w:rsidRPr="00F11B62">
        <w:t>years of service and type of service with the State.</w:t>
      </w:r>
    </w:p>
    <w:p w14:paraId="24F8105E" w14:textId="77777777" w:rsidR="005A7F2E" w:rsidRPr="00F11B62" w:rsidRDefault="005A7F2E" w:rsidP="00885B06"/>
    <w:p w14:paraId="5B98AEC1" w14:textId="77777777" w:rsidR="00AA131B" w:rsidRPr="00F11B62" w:rsidRDefault="00AA131B" w:rsidP="00AA131B">
      <w:pPr>
        <w:ind w:left="1440" w:hanging="720"/>
      </w:pPr>
      <w:r w:rsidRPr="00D07BA1">
        <w:rPr>
          <w:iCs/>
        </w:rPr>
        <w:t>c)</w:t>
      </w:r>
      <w:r w:rsidRPr="00AA131B">
        <w:rPr>
          <w:i/>
          <w:iCs/>
        </w:rPr>
        <w:tab/>
      </w:r>
      <w:r w:rsidRPr="00F11B62">
        <w:rPr>
          <w:i/>
          <w:iCs/>
        </w:rPr>
        <w:t>The decision shall include a description of the alleged misconduct, the decision of the Commission, including any fines levied and any recommendation of discipline and the reasoning for that decision.</w:t>
      </w:r>
      <w:r w:rsidR="005B20FB" w:rsidRPr="00D07BA1">
        <w:rPr>
          <w:iCs/>
        </w:rPr>
        <w:t xml:space="preserve">  </w:t>
      </w:r>
      <w:r w:rsidR="005B20FB">
        <w:rPr>
          <w:iCs/>
        </w:rPr>
        <w:t xml:space="preserve">[5 </w:t>
      </w:r>
      <w:proofErr w:type="spellStart"/>
      <w:r w:rsidR="005B20FB">
        <w:rPr>
          <w:iCs/>
        </w:rPr>
        <w:t>ILCS</w:t>
      </w:r>
      <w:proofErr w:type="spellEnd"/>
      <w:r w:rsidR="005B20FB">
        <w:rPr>
          <w:iCs/>
        </w:rPr>
        <w:t xml:space="preserve"> 430/</w:t>
      </w:r>
      <w:r w:rsidR="005157FC">
        <w:rPr>
          <w:iCs/>
        </w:rPr>
        <w:t>20-</w:t>
      </w:r>
      <w:r w:rsidR="005B20FB">
        <w:rPr>
          <w:iCs/>
        </w:rPr>
        <w:t>55(a)]</w:t>
      </w:r>
    </w:p>
    <w:p w14:paraId="0B74FC55" w14:textId="77777777" w:rsidR="00AA131B" w:rsidRDefault="00AA131B" w:rsidP="00E412C0"/>
    <w:p w14:paraId="2200F0AB" w14:textId="77777777" w:rsidR="00E412C0" w:rsidRDefault="00972037" w:rsidP="00E412C0">
      <w:pPr>
        <w:ind w:firstLine="720"/>
      </w:pPr>
      <w:r>
        <w:t>d</w:t>
      </w:r>
      <w:r w:rsidR="00AA131B">
        <w:t>)</w:t>
      </w:r>
      <w:r w:rsidR="00E412C0">
        <w:tab/>
        <w:t xml:space="preserve">Decisions of the Commission shall be signed by at least </w:t>
      </w:r>
      <w:r w:rsidR="000E68FE">
        <w:t>5</w:t>
      </w:r>
      <w:r w:rsidR="00E412C0">
        <w:t xml:space="preserve"> commissioners.</w:t>
      </w:r>
    </w:p>
    <w:p w14:paraId="191D94E8" w14:textId="77777777" w:rsidR="00E412C0" w:rsidRDefault="00E412C0" w:rsidP="00E412C0"/>
    <w:p w14:paraId="1EE65862" w14:textId="77777777" w:rsidR="00E412C0" w:rsidRDefault="00972037" w:rsidP="00E412C0">
      <w:pPr>
        <w:ind w:left="1440" w:hanging="720"/>
      </w:pPr>
      <w:r>
        <w:t>e</w:t>
      </w:r>
      <w:r w:rsidR="00AA131B">
        <w:t>)</w:t>
      </w:r>
      <w:r w:rsidR="00E412C0">
        <w:tab/>
      </w:r>
      <w:r w:rsidR="00E412C0" w:rsidRPr="004F78B8">
        <w:rPr>
          <w:i/>
        </w:rPr>
        <w:t xml:space="preserve">All decisions shall be </w:t>
      </w:r>
      <w:r w:rsidR="00D31915">
        <w:rPr>
          <w:i/>
        </w:rPr>
        <w:t>delivered to the head of the appropriate State agency,</w:t>
      </w:r>
      <w:r w:rsidR="007A114C">
        <w:rPr>
          <w:i/>
        </w:rPr>
        <w:t xml:space="preserve"> the appropriate ultimate jurisdictional authority,</w:t>
      </w:r>
      <w:r w:rsidR="000C0097">
        <w:t xml:space="preserve"> </w:t>
      </w:r>
      <w:r w:rsidR="000C0097">
        <w:rPr>
          <w:i/>
        </w:rPr>
        <w:t>the Executive Inspector General</w:t>
      </w:r>
      <w:r w:rsidR="00D31915">
        <w:t xml:space="preserve"> or Secretary of State Inspector General, as appropriate, the respondent,</w:t>
      </w:r>
      <w:r w:rsidR="00E412C0">
        <w:t xml:space="preserve"> and the Attorney General.  [5 </w:t>
      </w:r>
      <w:proofErr w:type="spellStart"/>
      <w:r w:rsidR="00E412C0">
        <w:t>ILCS</w:t>
      </w:r>
      <w:proofErr w:type="spellEnd"/>
      <w:r w:rsidR="00E412C0">
        <w:t xml:space="preserve"> 430/20-55(a)]</w:t>
      </w:r>
    </w:p>
    <w:p w14:paraId="05D961C0" w14:textId="77777777" w:rsidR="00E412C0" w:rsidRDefault="00E412C0" w:rsidP="00E412C0"/>
    <w:p w14:paraId="7F87B46D" w14:textId="77777777" w:rsidR="00E412C0" w:rsidRDefault="00972037" w:rsidP="00E412C0">
      <w:pPr>
        <w:ind w:left="1440" w:hanging="720"/>
      </w:pPr>
      <w:r>
        <w:t>f</w:t>
      </w:r>
      <w:r w:rsidR="00AA131B">
        <w:t>)</w:t>
      </w:r>
      <w:r w:rsidR="00E412C0">
        <w:tab/>
        <w:t>Once a complaint has been filed with the Commission, any proposed settlement reached by the parties must be submitted to the Commission for review and approval.</w:t>
      </w:r>
    </w:p>
    <w:p w14:paraId="1421A3D9" w14:textId="77777777" w:rsidR="00AA131B" w:rsidRDefault="00AA131B" w:rsidP="00885B06"/>
    <w:p w14:paraId="6997852F" w14:textId="3FC8C1A0" w:rsidR="00AA131B" w:rsidRPr="00D55B37" w:rsidRDefault="00AA7E69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B346CF">
        <w:t>12045</w:t>
      </w:r>
      <w:r w:rsidRPr="00FD1AD2">
        <w:t xml:space="preserve">, effective </w:t>
      </w:r>
      <w:r w:rsidR="00B346CF">
        <w:t>July 31, 2023</w:t>
      </w:r>
      <w:r w:rsidRPr="00FD1AD2">
        <w:t>)</w:t>
      </w:r>
    </w:p>
    <w:sectPr w:rsidR="00AA131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BFB7" w14:textId="77777777" w:rsidR="00543C43" w:rsidRDefault="00543C43">
      <w:r>
        <w:separator/>
      </w:r>
    </w:p>
  </w:endnote>
  <w:endnote w:type="continuationSeparator" w:id="0">
    <w:p w14:paraId="31B7C4CD" w14:textId="77777777" w:rsidR="00543C43" w:rsidRDefault="0054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559B" w14:textId="77777777" w:rsidR="00543C43" w:rsidRDefault="00543C43">
      <w:r>
        <w:separator/>
      </w:r>
    </w:p>
  </w:footnote>
  <w:footnote w:type="continuationSeparator" w:id="0">
    <w:p w14:paraId="6A409B6C" w14:textId="77777777" w:rsidR="00543C43" w:rsidRDefault="00543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47D0"/>
    <w:multiLevelType w:val="hybridMultilevel"/>
    <w:tmpl w:val="68B8D980"/>
    <w:lvl w:ilvl="0" w:tplc="85BAC34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C0097"/>
    <w:rsid w:val="000D225F"/>
    <w:rsid w:val="000E68FE"/>
    <w:rsid w:val="00136B47"/>
    <w:rsid w:val="00150267"/>
    <w:rsid w:val="001C7D95"/>
    <w:rsid w:val="001E3074"/>
    <w:rsid w:val="00225354"/>
    <w:rsid w:val="00247A2E"/>
    <w:rsid w:val="002524EC"/>
    <w:rsid w:val="002A2077"/>
    <w:rsid w:val="002A643F"/>
    <w:rsid w:val="00334FDF"/>
    <w:rsid w:val="00337CEB"/>
    <w:rsid w:val="00367A2E"/>
    <w:rsid w:val="003F3A28"/>
    <w:rsid w:val="003F5FD7"/>
    <w:rsid w:val="00431CFE"/>
    <w:rsid w:val="004461A1"/>
    <w:rsid w:val="004811A9"/>
    <w:rsid w:val="004D5CD6"/>
    <w:rsid w:val="004D73D3"/>
    <w:rsid w:val="005001C5"/>
    <w:rsid w:val="0050596B"/>
    <w:rsid w:val="005157FC"/>
    <w:rsid w:val="0052308E"/>
    <w:rsid w:val="00530BE1"/>
    <w:rsid w:val="00542E97"/>
    <w:rsid w:val="00543C43"/>
    <w:rsid w:val="0056157E"/>
    <w:rsid w:val="0056501E"/>
    <w:rsid w:val="005674AF"/>
    <w:rsid w:val="0059555B"/>
    <w:rsid w:val="005A7F2E"/>
    <w:rsid w:val="005B20FB"/>
    <w:rsid w:val="005F4571"/>
    <w:rsid w:val="00635926"/>
    <w:rsid w:val="006A2114"/>
    <w:rsid w:val="006D5961"/>
    <w:rsid w:val="006E29E3"/>
    <w:rsid w:val="00780733"/>
    <w:rsid w:val="007A114C"/>
    <w:rsid w:val="007C14B2"/>
    <w:rsid w:val="00801D20"/>
    <w:rsid w:val="00825C45"/>
    <w:rsid w:val="008271B1"/>
    <w:rsid w:val="00837F88"/>
    <w:rsid w:val="0084781C"/>
    <w:rsid w:val="00885B06"/>
    <w:rsid w:val="008B4361"/>
    <w:rsid w:val="008D4EA0"/>
    <w:rsid w:val="00935A8C"/>
    <w:rsid w:val="00972037"/>
    <w:rsid w:val="0098276C"/>
    <w:rsid w:val="009C4011"/>
    <w:rsid w:val="009C4FD4"/>
    <w:rsid w:val="00A174BB"/>
    <w:rsid w:val="00A21D1F"/>
    <w:rsid w:val="00A2265D"/>
    <w:rsid w:val="00A35A91"/>
    <w:rsid w:val="00A414BC"/>
    <w:rsid w:val="00A600AA"/>
    <w:rsid w:val="00A62F7E"/>
    <w:rsid w:val="00AA131B"/>
    <w:rsid w:val="00AA7E69"/>
    <w:rsid w:val="00AB29C6"/>
    <w:rsid w:val="00AE120A"/>
    <w:rsid w:val="00AE1744"/>
    <w:rsid w:val="00AE5547"/>
    <w:rsid w:val="00B06F18"/>
    <w:rsid w:val="00B07E7E"/>
    <w:rsid w:val="00B31598"/>
    <w:rsid w:val="00B346CF"/>
    <w:rsid w:val="00B35D67"/>
    <w:rsid w:val="00B516F7"/>
    <w:rsid w:val="00B66925"/>
    <w:rsid w:val="00B71177"/>
    <w:rsid w:val="00B876EC"/>
    <w:rsid w:val="00BC0A1C"/>
    <w:rsid w:val="00BD2405"/>
    <w:rsid w:val="00BE1BE9"/>
    <w:rsid w:val="00BF5EF1"/>
    <w:rsid w:val="00C4537A"/>
    <w:rsid w:val="00CC13F9"/>
    <w:rsid w:val="00CD3723"/>
    <w:rsid w:val="00D03AF0"/>
    <w:rsid w:val="00D07BA1"/>
    <w:rsid w:val="00D31915"/>
    <w:rsid w:val="00D55B37"/>
    <w:rsid w:val="00D62188"/>
    <w:rsid w:val="00D735B8"/>
    <w:rsid w:val="00D93C67"/>
    <w:rsid w:val="00E374A1"/>
    <w:rsid w:val="00E412C0"/>
    <w:rsid w:val="00E7288E"/>
    <w:rsid w:val="00E95503"/>
    <w:rsid w:val="00EB424E"/>
    <w:rsid w:val="00F207D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35D14"/>
  <w15:docId w15:val="{2CF939B0-7A14-44F1-961B-408001F2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2023-06-22T13:20:00Z</dcterms:created>
  <dcterms:modified xsi:type="dcterms:W3CDTF">2023-08-11T16:25:00Z</dcterms:modified>
</cp:coreProperties>
</file>