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E3" w:rsidRDefault="008A0DE3" w:rsidP="008A0D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0DE3" w:rsidRDefault="008A0DE3" w:rsidP="008A0D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1250.260  </w:t>
      </w:r>
      <w:r>
        <w:t xml:space="preserve"> </w:t>
      </w:r>
      <w:r>
        <w:rPr>
          <w:b/>
          <w:bCs/>
        </w:rPr>
        <w:t>Springfield Operations</w:t>
      </w:r>
      <w:r>
        <w:t xml:space="preserve"> </w:t>
      </w:r>
    </w:p>
    <w:p w:rsidR="008A0DE3" w:rsidRDefault="008A0DE3" w:rsidP="008A0DE3">
      <w:pPr>
        <w:widowControl w:val="0"/>
        <w:autoSpaceDE w:val="0"/>
        <w:autoSpaceDN w:val="0"/>
        <w:adjustRightInd w:val="0"/>
      </w:pPr>
    </w:p>
    <w:p w:rsidR="008A0DE3" w:rsidRDefault="008A0DE3" w:rsidP="008A0DE3">
      <w:pPr>
        <w:widowControl w:val="0"/>
        <w:autoSpaceDE w:val="0"/>
        <w:autoSpaceDN w:val="0"/>
        <w:adjustRightInd w:val="0"/>
      </w:pPr>
      <w:r>
        <w:t xml:space="preserve">This division is responsible for the staff support services, including Payroll, Timekeeping, Fiscal, Human Resources, and Labor Relations. </w:t>
      </w:r>
    </w:p>
    <w:p w:rsidR="008A0DE3" w:rsidRDefault="008A0DE3" w:rsidP="008A0DE3">
      <w:pPr>
        <w:widowControl w:val="0"/>
        <w:autoSpaceDE w:val="0"/>
        <w:autoSpaceDN w:val="0"/>
        <w:adjustRightInd w:val="0"/>
      </w:pPr>
    </w:p>
    <w:p w:rsidR="008A0DE3" w:rsidRDefault="008A0DE3" w:rsidP="008A0D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12454, effective July 29, 2002) </w:t>
      </w:r>
    </w:p>
    <w:sectPr w:rsidR="008A0DE3" w:rsidSect="008A0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0DE3"/>
    <w:rsid w:val="001678D1"/>
    <w:rsid w:val="003A70FC"/>
    <w:rsid w:val="00643E29"/>
    <w:rsid w:val="008A0DE3"/>
    <w:rsid w:val="00E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