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86" w:rsidRDefault="00F91F86" w:rsidP="00F91F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F86" w:rsidRDefault="00F91F86" w:rsidP="00F91F86">
      <w:pPr>
        <w:widowControl w:val="0"/>
        <w:autoSpaceDE w:val="0"/>
        <w:autoSpaceDN w:val="0"/>
        <w:adjustRightInd w:val="0"/>
        <w:jc w:val="center"/>
      </w:pPr>
      <w:r>
        <w:t>PART 1176</w:t>
      </w:r>
    </w:p>
    <w:p w:rsidR="00F91F86" w:rsidRDefault="00F91F86" w:rsidP="00F91F86">
      <w:pPr>
        <w:widowControl w:val="0"/>
        <w:autoSpaceDE w:val="0"/>
        <w:autoSpaceDN w:val="0"/>
        <w:adjustRightInd w:val="0"/>
        <w:jc w:val="center"/>
      </w:pPr>
      <w:r>
        <w:t>ACCESS TO PUBLIC RECORDS</w:t>
      </w:r>
    </w:p>
    <w:sectPr w:rsidR="00F91F86" w:rsidSect="00F91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F86"/>
    <w:rsid w:val="001678D1"/>
    <w:rsid w:val="001779D3"/>
    <w:rsid w:val="00803E01"/>
    <w:rsid w:val="00BE2D64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1176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1176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