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C5" w:rsidRDefault="005059C5" w:rsidP="005059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9C5" w:rsidRDefault="005059C5" w:rsidP="005059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1125.120  Right to Petition</w:t>
      </w:r>
      <w:r>
        <w:t xml:space="preserve"> </w:t>
      </w:r>
    </w:p>
    <w:p w:rsidR="005059C5" w:rsidRDefault="005059C5" w:rsidP="005059C5">
      <w:pPr>
        <w:widowControl w:val="0"/>
        <w:autoSpaceDE w:val="0"/>
        <w:autoSpaceDN w:val="0"/>
        <w:adjustRightInd w:val="0"/>
      </w:pPr>
    </w:p>
    <w:p w:rsidR="005059C5" w:rsidRDefault="005059C5" w:rsidP="005059C5">
      <w:pPr>
        <w:widowControl w:val="0"/>
        <w:autoSpaceDE w:val="0"/>
        <w:autoSpaceDN w:val="0"/>
        <w:adjustRightInd w:val="0"/>
      </w:pPr>
      <w:r>
        <w:rPr>
          <w:i/>
          <w:iCs/>
        </w:rPr>
        <w:t>Any interested person may petition the Illinois Department of Public Health</w:t>
      </w:r>
      <w:r>
        <w:t xml:space="preserve"> ( "Department") </w:t>
      </w:r>
      <w:r>
        <w:rPr>
          <w:i/>
          <w:iCs/>
        </w:rPr>
        <w:t>requesting the promulgation, amendment, or repeal of a rule</w:t>
      </w:r>
      <w:r>
        <w:t xml:space="preserve">  (Section 5-145(b) of the Act). The Petitions must be in compliance with this Part. </w:t>
      </w:r>
    </w:p>
    <w:p w:rsidR="005059C5" w:rsidRDefault="005059C5" w:rsidP="005059C5">
      <w:pPr>
        <w:widowControl w:val="0"/>
        <w:autoSpaceDE w:val="0"/>
        <w:autoSpaceDN w:val="0"/>
        <w:adjustRightInd w:val="0"/>
      </w:pPr>
    </w:p>
    <w:p w:rsidR="005059C5" w:rsidRDefault="005059C5" w:rsidP="005059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86, effective December 15, 1999) </w:t>
      </w:r>
    </w:p>
    <w:sectPr w:rsidR="005059C5" w:rsidSect="005059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9C5"/>
    <w:rsid w:val="001678D1"/>
    <w:rsid w:val="005059C5"/>
    <w:rsid w:val="006F6ADC"/>
    <w:rsid w:val="007C693E"/>
    <w:rsid w:val="008A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