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9C" w:rsidRDefault="00AF0F9C" w:rsidP="00AF0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F9C" w:rsidRDefault="00AF0F9C" w:rsidP="00AF0F9C">
      <w:pPr>
        <w:widowControl w:val="0"/>
        <w:autoSpaceDE w:val="0"/>
        <w:autoSpaceDN w:val="0"/>
        <w:adjustRightInd w:val="0"/>
      </w:pPr>
      <w:r>
        <w:t>SOURCE:  Adopted at 16 Ill. Reg. 11445, effective June 30, 1992; transferred from the Department of Mental Health and Developmental Disabilities to the Department of Human Services by PA 89-507; emergency amendment at 23 Ill. Reg. 4485, effective April 2, 1999, for a maximum of 150 days; amended at 23 Ill. Reg. 10800</w:t>
      </w:r>
      <w:r w:rsidR="00D71233">
        <w:t>,</w:t>
      </w:r>
      <w:r>
        <w:t xml:space="preserve"> effective August 23, 1999.</w:t>
      </w:r>
    </w:p>
    <w:sectPr w:rsidR="00AF0F9C" w:rsidSect="00AF0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F9C"/>
    <w:rsid w:val="001678D1"/>
    <w:rsid w:val="00273B7C"/>
    <w:rsid w:val="005F170F"/>
    <w:rsid w:val="00623867"/>
    <w:rsid w:val="00A45CC6"/>
    <w:rsid w:val="00AF0F9C"/>
    <w:rsid w:val="00D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