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62" w:rsidRDefault="00183562" w:rsidP="001835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3562" w:rsidRDefault="00183562" w:rsidP="001835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750.50  Graphic Description</w:t>
      </w:r>
      <w:r>
        <w:t xml:space="preserve"> </w:t>
      </w:r>
    </w:p>
    <w:p w:rsidR="00183562" w:rsidRDefault="00183562" w:rsidP="00183562">
      <w:pPr>
        <w:widowControl w:val="0"/>
        <w:autoSpaceDE w:val="0"/>
        <w:autoSpaceDN w:val="0"/>
        <w:adjustRightInd w:val="0"/>
      </w:pPr>
    </w:p>
    <w:p w:rsidR="00183562" w:rsidRDefault="00183562" w:rsidP="00183562">
      <w:pPr>
        <w:widowControl w:val="0"/>
        <w:autoSpaceDE w:val="0"/>
        <w:autoSpaceDN w:val="0"/>
        <w:adjustRightInd w:val="0"/>
      </w:pPr>
      <w:r>
        <w:t xml:space="preserve">The current organizational sturcture is shown on Appendix A to this Part. </w:t>
      </w:r>
    </w:p>
    <w:sectPr w:rsidR="00183562" w:rsidSect="00183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562"/>
    <w:rsid w:val="001678D1"/>
    <w:rsid w:val="00173777"/>
    <w:rsid w:val="00183562"/>
    <w:rsid w:val="00B45EF1"/>
    <w:rsid w:val="00C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