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24" w:rsidRDefault="002C5A24" w:rsidP="002C5A24">
      <w:pPr>
        <w:widowControl w:val="0"/>
        <w:autoSpaceDE w:val="0"/>
        <w:autoSpaceDN w:val="0"/>
        <w:adjustRightInd w:val="0"/>
      </w:pPr>
      <w:bookmarkStart w:id="0" w:name="_GoBack"/>
      <w:bookmarkEnd w:id="0"/>
    </w:p>
    <w:p w:rsidR="002C5A24" w:rsidRDefault="002C5A24" w:rsidP="002C5A24">
      <w:pPr>
        <w:widowControl w:val="0"/>
        <w:autoSpaceDE w:val="0"/>
        <w:autoSpaceDN w:val="0"/>
        <w:adjustRightInd w:val="0"/>
      </w:pPr>
      <w:r>
        <w:rPr>
          <w:b/>
          <w:bCs/>
        </w:rPr>
        <w:t>Section 750.30  Functional Description</w:t>
      </w:r>
      <w:r>
        <w:t xml:space="preserve"> </w:t>
      </w:r>
    </w:p>
    <w:p w:rsidR="002C5A24" w:rsidRDefault="002C5A24" w:rsidP="002C5A24">
      <w:pPr>
        <w:widowControl w:val="0"/>
        <w:autoSpaceDE w:val="0"/>
        <w:autoSpaceDN w:val="0"/>
        <w:adjustRightInd w:val="0"/>
      </w:pPr>
    </w:p>
    <w:p w:rsidR="002C5A24" w:rsidRDefault="002C5A24" w:rsidP="002C5A24">
      <w:pPr>
        <w:widowControl w:val="0"/>
        <w:autoSpaceDE w:val="0"/>
        <w:autoSpaceDN w:val="0"/>
        <w:adjustRightInd w:val="0"/>
      </w:pPr>
      <w:r>
        <w:t xml:space="preserve">The Department of Central Management Services provides centralized services to State Agencies.  Those major services and the basic governing statutes are listed below.  Further definition by rule can be found in other parts promulgated by the Department. </w:t>
      </w:r>
    </w:p>
    <w:p w:rsidR="002C5A24" w:rsidRDefault="002C5A24" w:rsidP="002C5A24">
      <w:pPr>
        <w:widowControl w:val="0"/>
        <w:autoSpaceDE w:val="0"/>
        <w:autoSpaceDN w:val="0"/>
        <w:adjustRightInd w:val="0"/>
      </w:pPr>
    </w:p>
    <w:tbl>
      <w:tblPr>
        <w:tblW w:w="0" w:type="auto"/>
        <w:tblInd w:w="393" w:type="dxa"/>
        <w:tblLook w:val="0000" w:firstRow="0" w:lastRow="0" w:firstColumn="0" w:lastColumn="0" w:noHBand="0" w:noVBand="0"/>
      </w:tblPr>
      <w:tblGrid>
        <w:gridCol w:w="741"/>
        <w:gridCol w:w="3553"/>
        <w:gridCol w:w="4304"/>
      </w:tblGrid>
      <w:tr w:rsidR="00653CA0" w:rsidRPr="00653CA0" w:rsidTr="002555DF">
        <w:tblPrEx>
          <w:tblCellMar>
            <w:top w:w="0" w:type="dxa"/>
            <w:bottom w:w="0" w:type="dxa"/>
          </w:tblCellMar>
        </w:tblPrEx>
        <w:trPr>
          <w:trHeight w:val="405"/>
        </w:trPr>
        <w:tc>
          <w:tcPr>
            <w:tcW w:w="8598" w:type="dxa"/>
            <w:gridSpan w:val="3"/>
          </w:tcPr>
          <w:p w:rsidR="00653CA0" w:rsidRPr="002555DF" w:rsidRDefault="00653CA0" w:rsidP="002555DF">
            <w:pPr>
              <w:widowControl w:val="0"/>
              <w:tabs>
                <w:tab w:val="left" w:pos="13515"/>
              </w:tabs>
              <w:autoSpaceDE w:val="0"/>
              <w:autoSpaceDN w:val="0"/>
              <w:adjustRightInd w:val="0"/>
              <w:ind w:right="1422"/>
              <w:jc w:val="right"/>
              <w:rPr>
                <w:u w:val="single"/>
              </w:rPr>
            </w:pPr>
            <w:r w:rsidRPr="002555DF">
              <w:rPr>
                <w:u w:val="single"/>
              </w:rPr>
              <w:t xml:space="preserve">Ill. Rev. Stat. 1983, </w:t>
            </w:r>
            <w:proofErr w:type="spellStart"/>
            <w:r w:rsidRPr="002555DF">
              <w:rPr>
                <w:u w:val="single"/>
              </w:rPr>
              <w:t>ch</w:t>
            </w:r>
            <w:proofErr w:type="spellEnd"/>
            <w:r w:rsidRPr="002555DF">
              <w:rPr>
                <w:u w:val="single"/>
              </w:rPr>
              <w:t>. 127,</w:t>
            </w: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a)</w:t>
            </w:r>
          </w:p>
        </w:tc>
        <w:tc>
          <w:tcPr>
            <w:tcW w:w="3553" w:type="dxa"/>
          </w:tcPr>
          <w:p w:rsidR="00653CA0" w:rsidRPr="00653CA0" w:rsidRDefault="00653CA0" w:rsidP="0050559F">
            <w:pPr>
              <w:widowControl w:val="0"/>
              <w:autoSpaceDE w:val="0"/>
              <w:autoSpaceDN w:val="0"/>
              <w:adjustRightInd w:val="0"/>
            </w:pPr>
            <w:r w:rsidRPr="00653CA0">
              <w:t>Electronic Data Processing</w:t>
            </w:r>
          </w:p>
        </w:tc>
        <w:tc>
          <w:tcPr>
            <w:tcW w:w="4304" w:type="dxa"/>
          </w:tcPr>
          <w:p w:rsidR="00653CA0" w:rsidRPr="00653CA0" w:rsidRDefault="00653CA0" w:rsidP="0050559F">
            <w:pPr>
              <w:widowControl w:val="0"/>
              <w:autoSpaceDE w:val="0"/>
              <w:autoSpaceDN w:val="0"/>
              <w:adjustRightInd w:val="0"/>
            </w:pPr>
            <w:r w:rsidRPr="00653CA0">
              <w:t>par. 35.7, 35.7a</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b)</w:t>
            </w:r>
          </w:p>
        </w:tc>
        <w:tc>
          <w:tcPr>
            <w:tcW w:w="3553" w:type="dxa"/>
          </w:tcPr>
          <w:p w:rsidR="00653CA0" w:rsidRPr="00653CA0" w:rsidRDefault="00653CA0" w:rsidP="0050559F">
            <w:pPr>
              <w:widowControl w:val="0"/>
              <w:autoSpaceDE w:val="0"/>
              <w:autoSpaceDN w:val="0"/>
              <w:adjustRightInd w:val="0"/>
            </w:pPr>
            <w:r w:rsidRPr="00653CA0">
              <w:t xml:space="preserve">Real Estate Purchase  </w:t>
            </w:r>
          </w:p>
        </w:tc>
        <w:tc>
          <w:tcPr>
            <w:tcW w:w="4304" w:type="dxa"/>
          </w:tcPr>
          <w:p w:rsidR="00653CA0" w:rsidRPr="00653CA0" w:rsidRDefault="00653CA0" w:rsidP="0050559F">
            <w:pPr>
              <w:widowControl w:val="0"/>
              <w:autoSpaceDE w:val="0"/>
              <w:autoSpaceDN w:val="0"/>
              <w:adjustRightInd w:val="0"/>
            </w:pPr>
            <w:r w:rsidRPr="00653CA0">
              <w:t>par. 51</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c)</w:t>
            </w:r>
          </w:p>
        </w:tc>
        <w:tc>
          <w:tcPr>
            <w:tcW w:w="3553" w:type="dxa"/>
          </w:tcPr>
          <w:p w:rsidR="00653CA0" w:rsidRPr="00653CA0" w:rsidRDefault="00653CA0" w:rsidP="0050559F">
            <w:pPr>
              <w:widowControl w:val="0"/>
              <w:autoSpaceDE w:val="0"/>
              <w:autoSpaceDN w:val="0"/>
              <w:adjustRightInd w:val="0"/>
            </w:pPr>
            <w:r w:rsidRPr="00653CA0">
              <w:t>Risk Management</w:t>
            </w:r>
          </w:p>
        </w:tc>
        <w:tc>
          <w:tcPr>
            <w:tcW w:w="4304" w:type="dxa"/>
          </w:tcPr>
          <w:p w:rsidR="00653CA0" w:rsidRPr="00653CA0" w:rsidRDefault="00653CA0" w:rsidP="0050559F">
            <w:pPr>
              <w:widowControl w:val="0"/>
              <w:autoSpaceDE w:val="0"/>
              <w:autoSpaceDN w:val="0"/>
              <w:adjustRightInd w:val="0"/>
            </w:pPr>
            <w:r w:rsidRPr="00653CA0">
              <w:t>par. 63b4</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d)</w:t>
            </w:r>
          </w:p>
        </w:tc>
        <w:tc>
          <w:tcPr>
            <w:tcW w:w="3553" w:type="dxa"/>
          </w:tcPr>
          <w:p w:rsidR="00653CA0" w:rsidRPr="00653CA0" w:rsidRDefault="00653CA0" w:rsidP="0050559F">
            <w:pPr>
              <w:widowControl w:val="0"/>
              <w:autoSpaceDE w:val="0"/>
              <w:autoSpaceDN w:val="0"/>
              <w:adjustRightInd w:val="0"/>
            </w:pPr>
            <w:r w:rsidRPr="00653CA0">
              <w:t>Procurement</w:t>
            </w:r>
          </w:p>
        </w:tc>
        <w:tc>
          <w:tcPr>
            <w:tcW w:w="4304" w:type="dxa"/>
          </w:tcPr>
          <w:p w:rsidR="00653CA0" w:rsidRPr="00653CA0" w:rsidRDefault="00653CA0" w:rsidP="0050559F">
            <w:pPr>
              <w:widowControl w:val="0"/>
              <w:autoSpaceDE w:val="0"/>
              <w:autoSpaceDN w:val="0"/>
              <w:adjustRightInd w:val="0"/>
            </w:pPr>
            <w:r w:rsidRPr="00653CA0">
              <w:t>par. 63b13.1</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e)</w:t>
            </w:r>
          </w:p>
        </w:tc>
        <w:tc>
          <w:tcPr>
            <w:tcW w:w="3553" w:type="dxa"/>
          </w:tcPr>
          <w:p w:rsidR="00653CA0" w:rsidRPr="00653CA0" w:rsidRDefault="00653CA0" w:rsidP="0050559F">
            <w:pPr>
              <w:widowControl w:val="0"/>
              <w:autoSpaceDE w:val="0"/>
              <w:autoSpaceDN w:val="0"/>
              <w:adjustRightInd w:val="0"/>
            </w:pPr>
            <w:r w:rsidRPr="00653CA0">
              <w:t>Real Property Lease</w:t>
            </w:r>
          </w:p>
        </w:tc>
        <w:tc>
          <w:tcPr>
            <w:tcW w:w="4304" w:type="dxa"/>
          </w:tcPr>
          <w:p w:rsidR="00653CA0" w:rsidRPr="00653CA0" w:rsidRDefault="00653CA0" w:rsidP="0050559F">
            <w:pPr>
              <w:widowControl w:val="0"/>
              <w:autoSpaceDE w:val="0"/>
              <w:autoSpaceDN w:val="0"/>
              <w:adjustRightInd w:val="0"/>
            </w:pPr>
            <w:r w:rsidRPr="00653CA0">
              <w:t>pars. 63b13.2, 63b13.6</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f)</w:t>
            </w:r>
          </w:p>
        </w:tc>
        <w:tc>
          <w:tcPr>
            <w:tcW w:w="3553" w:type="dxa"/>
          </w:tcPr>
          <w:p w:rsidR="00653CA0" w:rsidRPr="00653CA0" w:rsidRDefault="00653CA0" w:rsidP="0050559F">
            <w:pPr>
              <w:widowControl w:val="0"/>
              <w:autoSpaceDE w:val="0"/>
              <w:autoSpaceDN w:val="0"/>
              <w:adjustRightInd w:val="0"/>
            </w:pPr>
            <w:r w:rsidRPr="00653CA0">
              <w:t>Printing</w:t>
            </w:r>
          </w:p>
        </w:tc>
        <w:tc>
          <w:tcPr>
            <w:tcW w:w="4304" w:type="dxa"/>
          </w:tcPr>
          <w:p w:rsidR="00653CA0" w:rsidRPr="00653CA0" w:rsidRDefault="00653CA0" w:rsidP="0050559F">
            <w:pPr>
              <w:widowControl w:val="0"/>
              <w:autoSpaceDE w:val="0"/>
              <w:autoSpaceDN w:val="0"/>
              <w:adjustRightInd w:val="0"/>
            </w:pPr>
            <w:r w:rsidRPr="00653CA0">
              <w:t>par. 63b13.4</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g)</w:t>
            </w:r>
          </w:p>
        </w:tc>
        <w:tc>
          <w:tcPr>
            <w:tcW w:w="3553" w:type="dxa"/>
          </w:tcPr>
          <w:p w:rsidR="00653CA0" w:rsidRPr="00653CA0" w:rsidRDefault="00653CA0" w:rsidP="0050559F">
            <w:pPr>
              <w:widowControl w:val="0"/>
              <w:autoSpaceDE w:val="0"/>
              <w:autoSpaceDN w:val="0"/>
              <w:adjustRightInd w:val="0"/>
            </w:pPr>
            <w:r w:rsidRPr="00653CA0">
              <w:t>Media Services</w:t>
            </w:r>
          </w:p>
        </w:tc>
        <w:tc>
          <w:tcPr>
            <w:tcW w:w="4304" w:type="dxa"/>
          </w:tcPr>
          <w:p w:rsidR="00653CA0" w:rsidRPr="00653CA0" w:rsidRDefault="00653CA0" w:rsidP="0050559F">
            <w:pPr>
              <w:widowControl w:val="0"/>
              <w:autoSpaceDE w:val="0"/>
              <w:autoSpaceDN w:val="0"/>
              <w:adjustRightInd w:val="0"/>
            </w:pPr>
            <w:r w:rsidRPr="00653CA0">
              <w:t>par. 63b13.5</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h)</w:t>
            </w:r>
          </w:p>
        </w:tc>
        <w:tc>
          <w:tcPr>
            <w:tcW w:w="3553" w:type="dxa"/>
          </w:tcPr>
          <w:p w:rsidR="00653CA0" w:rsidRPr="00653CA0" w:rsidRDefault="00653CA0" w:rsidP="0050559F">
            <w:pPr>
              <w:widowControl w:val="0"/>
              <w:autoSpaceDE w:val="0"/>
              <w:autoSpaceDN w:val="0"/>
              <w:adjustRightInd w:val="0"/>
            </w:pPr>
            <w:r w:rsidRPr="00653CA0">
              <w:t>Telecommunications</w:t>
            </w:r>
          </w:p>
        </w:tc>
        <w:tc>
          <w:tcPr>
            <w:tcW w:w="4304" w:type="dxa"/>
          </w:tcPr>
          <w:p w:rsidR="00653CA0" w:rsidRPr="00653CA0" w:rsidRDefault="00653CA0" w:rsidP="0050559F">
            <w:pPr>
              <w:widowControl w:val="0"/>
              <w:autoSpaceDE w:val="0"/>
              <w:autoSpaceDN w:val="0"/>
              <w:adjustRightInd w:val="0"/>
            </w:pPr>
            <w:r w:rsidRPr="00653CA0">
              <w:t>pars. 63b13.8, 63b13.18</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i)</w:t>
            </w:r>
          </w:p>
        </w:tc>
        <w:tc>
          <w:tcPr>
            <w:tcW w:w="3553" w:type="dxa"/>
          </w:tcPr>
          <w:p w:rsidR="00653CA0" w:rsidRPr="00653CA0" w:rsidRDefault="00653CA0" w:rsidP="0050559F">
            <w:pPr>
              <w:widowControl w:val="0"/>
              <w:autoSpaceDE w:val="0"/>
              <w:autoSpaceDN w:val="0"/>
              <w:adjustRightInd w:val="0"/>
            </w:pPr>
            <w:r w:rsidRPr="00653CA0">
              <w:t>Supply Warehouses</w:t>
            </w:r>
          </w:p>
        </w:tc>
        <w:tc>
          <w:tcPr>
            <w:tcW w:w="4304" w:type="dxa"/>
          </w:tcPr>
          <w:p w:rsidR="00653CA0" w:rsidRPr="00653CA0" w:rsidRDefault="00653CA0" w:rsidP="0050559F">
            <w:pPr>
              <w:widowControl w:val="0"/>
              <w:autoSpaceDE w:val="0"/>
              <w:autoSpaceDN w:val="0"/>
              <w:adjustRightInd w:val="0"/>
            </w:pPr>
            <w:r w:rsidRPr="00653CA0">
              <w:t>par. 63b13.9</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j)</w:t>
            </w:r>
          </w:p>
        </w:tc>
        <w:tc>
          <w:tcPr>
            <w:tcW w:w="3553" w:type="dxa"/>
          </w:tcPr>
          <w:p w:rsidR="00653CA0" w:rsidRPr="00653CA0" w:rsidRDefault="00653CA0" w:rsidP="0050559F">
            <w:pPr>
              <w:widowControl w:val="0"/>
              <w:autoSpaceDE w:val="0"/>
              <w:autoSpaceDN w:val="0"/>
              <w:adjustRightInd w:val="0"/>
            </w:pPr>
            <w:r w:rsidRPr="00653CA0">
              <w:t>Vehicles</w:t>
            </w:r>
          </w:p>
        </w:tc>
        <w:tc>
          <w:tcPr>
            <w:tcW w:w="4304" w:type="dxa"/>
          </w:tcPr>
          <w:p w:rsidR="00653CA0" w:rsidRPr="00653CA0" w:rsidRDefault="00653CA0" w:rsidP="0050559F">
            <w:pPr>
              <w:widowControl w:val="0"/>
              <w:autoSpaceDE w:val="0"/>
              <w:autoSpaceDN w:val="0"/>
              <w:adjustRightInd w:val="0"/>
            </w:pPr>
            <w:r w:rsidRPr="00653CA0">
              <w:t>pars. 63b13.15, 63b13.16</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k)</w:t>
            </w:r>
          </w:p>
        </w:tc>
        <w:tc>
          <w:tcPr>
            <w:tcW w:w="3553" w:type="dxa"/>
          </w:tcPr>
          <w:p w:rsidR="00653CA0" w:rsidRPr="00653CA0" w:rsidRDefault="00653CA0" w:rsidP="0050559F">
            <w:pPr>
              <w:widowControl w:val="0"/>
              <w:autoSpaceDE w:val="0"/>
              <w:autoSpaceDN w:val="0"/>
              <w:adjustRightInd w:val="0"/>
            </w:pPr>
            <w:r w:rsidRPr="00653CA0">
              <w:t>Property Control and Disposal</w:t>
            </w:r>
          </w:p>
        </w:tc>
        <w:tc>
          <w:tcPr>
            <w:tcW w:w="4304" w:type="dxa"/>
          </w:tcPr>
          <w:p w:rsidR="00653CA0" w:rsidRPr="00653CA0" w:rsidRDefault="00653CA0" w:rsidP="0050559F">
            <w:pPr>
              <w:widowControl w:val="0"/>
              <w:autoSpaceDE w:val="0"/>
              <w:autoSpaceDN w:val="0"/>
              <w:adjustRightInd w:val="0"/>
            </w:pPr>
            <w:r w:rsidRPr="00653CA0">
              <w:t>par. 63b13.21</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l)</w:t>
            </w:r>
          </w:p>
        </w:tc>
        <w:tc>
          <w:tcPr>
            <w:tcW w:w="3553" w:type="dxa"/>
          </w:tcPr>
          <w:p w:rsidR="00653CA0" w:rsidRPr="00653CA0" w:rsidRDefault="00653CA0" w:rsidP="0050559F">
            <w:pPr>
              <w:widowControl w:val="0"/>
              <w:autoSpaceDE w:val="0"/>
              <w:autoSpaceDN w:val="0"/>
              <w:adjustRightInd w:val="0"/>
            </w:pPr>
            <w:r w:rsidRPr="00653CA0">
              <w:t>Forms Management</w:t>
            </w:r>
          </w:p>
        </w:tc>
        <w:tc>
          <w:tcPr>
            <w:tcW w:w="4304" w:type="dxa"/>
          </w:tcPr>
          <w:p w:rsidR="00653CA0" w:rsidRPr="00653CA0" w:rsidRDefault="00653CA0" w:rsidP="0050559F">
            <w:pPr>
              <w:widowControl w:val="0"/>
              <w:autoSpaceDE w:val="0"/>
              <w:autoSpaceDN w:val="0"/>
              <w:adjustRightInd w:val="0"/>
            </w:pPr>
            <w:r w:rsidRPr="00653CA0">
              <w:t>par. 63b13.23</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m)</w:t>
            </w:r>
          </w:p>
        </w:tc>
        <w:tc>
          <w:tcPr>
            <w:tcW w:w="3553" w:type="dxa"/>
          </w:tcPr>
          <w:p w:rsidR="00653CA0" w:rsidRPr="00653CA0" w:rsidRDefault="00653CA0" w:rsidP="0050559F">
            <w:pPr>
              <w:widowControl w:val="0"/>
              <w:autoSpaceDE w:val="0"/>
              <w:autoSpaceDN w:val="0"/>
              <w:adjustRightInd w:val="0"/>
            </w:pPr>
            <w:r w:rsidRPr="00653CA0">
              <w:t>Building Management</w:t>
            </w:r>
          </w:p>
        </w:tc>
        <w:tc>
          <w:tcPr>
            <w:tcW w:w="4304" w:type="dxa"/>
          </w:tcPr>
          <w:p w:rsidR="00653CA0" w:rsidRPr="00653CA0" w:rsidRDefault="00653CA0" w:rsidP="0050559F">
            <w:pPr>
              <w:widowControl w:val="0"/>
              <w:autoSpaceDE w:val="0"/>
              <w:autoSpaceDN w:val="0"/>
              <w:adjustRightInd w:val="0"/>
            </w:pPr>
            <w:r w:rsidRPr="00653CA0">
              <w:t>par. 63b13.24</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Pr="00653CA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n)</w:t>
            </w:r>
          </w:p>
        </w:tc>
        <w:tc>
          <w:tcPr>
            <w:tcW w:w="3553" w:type="dxa"/>
          </w:tcPr>
          <w:p w:rsidR="00653CA0" w:rsidRPr="00653CA0" w:rsidRDefault="00653CA0" w:rsidP="0050559F">
            <w:pPr>
              <w:widowControl w:val="0"/>
              <w:autoSpaceDE w:val="0"/>
              <w:autoSpaceDN w:val="0"/>
              <w:adjustRightInd w:val="0"/>
            </w:pPr>
            <w:r w:rsidRPr="00653CA0">
              <w:t>Personnel</w:t>
            </w:r>
          </w:p>
        </w:tc>
        <w:tc>
          <w:tcPr>
            <w:tcW w:w="4304" w:type="dxa"/>
          </w:tcPr>
          <w:p w:rsidR="00653CA0" w:rsidRPr="00653CA0" w:rsidRDefault="00653CA0" w:rsidP="0050559F">
            <w:pPr>
              <w:widowControl w:val="0"/>
              <w:autoSpaceDE w:val="0"/>
              <w:autoSpaceDN w:val="0"/>
              <w:adjustRightInd w:val="0"/>
            </w:pPr>
            <w:r>
              <w:t>p</w:t>
            </w:r>
            <w:r w:rsidRPr="00653CA0">
              <w:t>ar. 63b101</w:t>
            </w:r>
          </w:p>
        </w:tc>
      </w:tr>
      <w:tr w:rsidR="00F835D0" w:rsidRPr="00653CA0" w:rsidTr="002555DF">
        <w:tblPrEx>
          <w:tblCellMar>
            <w:top w:w="0" w:type="dxa"/>
            <w:bottom w:w="0" w:type="dxa"/>
          </w:tblCellMar>
        </w:tblPrEx>
        <w:tc>
          <w:tcPr>
            <w:tcW w:w="741" w:type="dxa"/>
          </w:tcPr>
          <w:p w:rsidR="00F835D0" w:rsidRPr="00653CA0" w:rsidRDefault="00F835D0" w:rsidP="0050559F">
            <w:pPr>
              <w:widowControl w:val="0"/>
              <w:autoSpaceDE w:val="0"/>
              <w:autoSpaceDN w:val="0"/>
              <w:adjustRightInd w:val="0"/>
            </w:pPr>
          </w:p>
        </w:tc>
        <w:tc>
          <w:tcPr>
            <w:tcW w:w="3553" w:type="dxa"/>
          </w:tcPr>
          <w:p w:rsidR="00F835D0" w:rsidRPr="00653CA0" w:rsidRDefault="00F835D0" w:rsidP="0050559F">
            <w:pPr>
              <w:widowControl w:val="0"/>
              <w:autoSpaceDE w:val="0"/>
              <w:autoSpaceDN w:val="0"/>
              <w:adjustRightInd w:val="0"/>
            </w:pPr>
          </w:p>
        </w:tc>
        <w:tc>
          <w:tcPr>
            <w:tcW w:w="4304" w:type="dxa"/>
          </w:tcPr>
          <w:p w:rsidR="00F835D0" w:rsidRDefault="00F835D0" w:rsidP="0050559F">
            <w:pPr>
              <w:widowControl w:val="0"/>
              <w:autoSpaceDE w:val="0"/>
              <w:autoSpaceDN w:val="0"/>
              <w:adjustRightInd w:val="0"/>
            </w:pPr>
          </w:p>
        </w:tc>
      </w:tr>
      <w:tr w:rsidR="00653CA0" w:rsidRPr="00653CA0" w:rsidTr="002555DF">
        <w:tblPrEx>
          <w:tblCellMar>
            <w:top w:w="0" w:type="dxa"/>
            <w:bottom w:w="0" w:type="dxa"/>
          </w:tblCellMar>
        </w:tblPrEx>
        <w:tc>
          <w:tcPr>
            <w:tcW w:w="741" w:type="dxa"/>
          </w:tcPr>
          <w:p w:rsidR="00653CA0" w:rsidRPr="00653CA0" w:rsidRDefault="00653CA0" w:rsidP="0050559F">
            <w:pPr>
              <w:widowControl w:val="0"/>
              <w:autoSpaceDE w:val="0"/>
              <w:autoSpaceDN w:val="0"/>
              <w:adjustRightInd w:val="0"/>
            </w:pPr>
            <w:r w:rsidRPr="00653CA0">
              <w:t>o)</w:t>
            </w:r>
          </w:p>
        </w:tc>
        <w:tc>
          <w:tcPr>
            <w:tcW w:w="3553" w:type="dxa"/>
          </w:tcPr>
          <w:p w:rsidR="00653CA0" w:rsidRPr="00653CA0" w:rsidRDefault="00653CA0" w:rsidP="0050559F">
            <w:pPr>
              <w:widowControl w:val="0"/>
              <w:autoSpaceDE w:val="0"/>
              <w:autoSpaceDN w:val="0"/>
              <w:adjustRightInd w:val="0"/>
            </w:pPr>
            <w:r w:rsidRPr="00653CA0">
              <w:t>Employee Group Insurance</w:t>
            </w:r>
          </w:p>
        </w:tc>
        <w:tc>
          <w:tcPr>
            <w:tcW w:w="4304" w:type="dxa"/>
          </w:tcPr>
          <w:p w:rsidR="00653CA0" w:rsidRPr="00653CA0" w:rsidRDefault="00653CA0" w:rsidP="0050559F">
            <w:pPr>
              <w:widowControl w:val="0"/>
              <w:autoSpaceDE w:val="0"/>
              <w:autoSpaceDN w:val="0"/>
              <w:adjustRightInd w:val="0"/>
            </w:pPr>
            <w:r w:rsidRPr="00653CA0">
              <w:t>par. 514</w:t>
            </w:r>
          </w:p>
        </w:tc>
      </w:tr>
    </w:tbl>
    <w:p w:rsidR="002C5A24" w:rsidRDefault="002C5A24" w:rsidP="002C5A24">
      <w:pPr>
        <w:widowControl w:val="0"/>
        <w:autoSpaceDE w:val="0"/>
        <w:autoSpaceDN w:val="0"/>
        <w:adjustRightInd w:val="0"/>
      </w:pPr>
      <w:r>
        <w:t xml:space="preserve"> </w:t>
      </w:r>
    </w:p>
    <w:sectPr w:rsidR="002C5A24" w:rsidSect="002C5A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A24"/>
    <w:rsid w:val="001678D1"/>
    <w:rsid w:val="002555DF"/>
    <w:rsid w:val="002C5A24"/>
    <w:rsid w:val="0050559F"/>
    <w:rsid w:val="005C0320"/>
    <w:rsid w:val="00653CA0"/>
    <w:rsid w:val="00773678"/>
    <w:rsid w:val="009A2BD3"/>
    <w:rsid w:val="00E150B7"/>
    <w:rsid w:val="00F8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2012-06-21T18:34:00Z</dcterms:created>
  <dcterms:modified xsi:type="dcterms:W3CDTF">2012-06-21T18:34:00Z</dcterms:modified>
</cp:coreProperties>
</file>