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45" w:rsidRDefault="00427C45" w:rsidP="00427C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C45" w:rsidRDefault="00427C45" w:rsidP="00427C45">
      <w:pPr>
        <w:widowControl w:val="0"/>
        <w:autoSpaceDE w:val="0"/>
        <w:autoSpaceDN w:val="0"/>
        <w:adjustRightInd w:val="0"/>
      </w:pPr>
      <w:r>
        <w:t>SOURCE:  Adopted at 4 Ill. Reg. 44, p. 437, effective October 22, 1980; codified at 7 Ill. Reg. 16020; amended at 8 Ill. Reg. 14967, effective August 3, 1984; amended at 14 Ill. Reg. 186, effective December 21, 1989; amended at 25 Ill. Reg. 8139, effective June 22, 2001; amended at 26 Ill. Reg. 133, effective January 15, 2002.</w:t>
      </w:r>
    </w:p>
    <w:sectPr w:rsidR="00427C45" w:rsidSect="00427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C45"/>
    <w:rsid w:val="00014814"/>
    <w:rsid w:val="001678D1"/>
    <w:rsid w:val="00427C45"/>
    <w:rsid w:val="00814171"/>
    <w:rsid w:val="009C2256"/>
    <w:rsid w:val="00E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