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61" w:rsidRDefault="00C11E61" w:rsidP="00C11E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1E61" w:rsidRDefault="00C11E61" w:rsidP="00C11E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526.20  Functional Divisions</w:t>
      </w:r>
      <w:r>
        <w:t xml:space="preserve"> </w:t>
      </w:r>
    </w:p>
    <w:p w:rsidR="00C11E61" w:rsidRDefault="00C11E61" w:rsidP="00C11E61">
      <w:pPr>
        <w:widowControl w:val="0"/>
        <w:autoSpaceDE w:val="0"/>
        <w:autoSpaceDN w:val="0"/>
        <w:adjustRightInd w:val="0"/>
      </w:pPr>
    </w:p>
    <w:p w:rsidR="00C11E61" w:rsidRDefault="00C11E61" w:rsidP="00C11E61">
      <w:pPr>
        <w:widowControl w:val="0"/>
        <w:autoSpaceDE w:val="0"/>
        <w:autoSpaceDN w:val="0"/>
        <w:adjustRightInd w:val="0"/>
      </w:pPr>
      <w:r>
        <w:t xml:space="preserve">The Chief Administrative Office of the Lieutenant Governor's Office is located in Room 214, State House, Springfield, Illinois 62706.  A block diagram of the divisions is provided in Appendix A of this Part.  </w:t>
      </w:r>
    </w:p>
    <w:p w:rsidR="00222413" w:rsidRDefault="00222413" w:rsidP="00C11E61">
      <w:pPr>
        <w:widowControl w:val="0"/>
        <w:autoSpaceDE w:val="0"/>
        <w:autoSpaceDN w:val="0"/>
        <w:adjustRightInd w:val="0"/>
      </w:pPr>
    </w:p>
    <w:p w:rsidR="00222413" w:rsidRPr="00D55B37" w:rsidRDefault="002224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A31C3">
        <w:t>13210</w:t>
      </w:r>
      <w:r w:rsidRPr="00D55B37">
        <w:t xml:space="preserve">, effective </w:t>
      </w:r>
      <w:r w:rsidR="009F569C">
        <w:t>August 1, 2008</w:t>
      </w:r>
      <w:r w:rsidRPr="00D55B37">
        <w:t>)</w:t>
      </w:r>
    </w:p>
    <w:sectPr w:rsidR="00222413" w:rsidRPr="00D55B37" w:rsidSect="00C11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E61"/>
    <w:rsid w:val="00000C59"/>
    <w:rsid w:val="000A31C3"/>
    <w:rsid w:val="001678D1"/>
    <w:rsid w:val="00222413"/>
    <w:rsid w:val="009F569C"/>
    <w:rsid w:val="00AB5D4D"/>
    <w:rsid w:val="00AB6D25"/>
    <w:rsid w:val="00C11E61"/>
    <w:rsid w:val="00EA7929"/>
    <w:rsid w:val="00E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2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