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5D" w:rsidRDefault="004C7E5D" w:rsidP="004C7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E5D" w:rsidRDefault="004C7E5D" w:rsidP="004C7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150.210  Organization Chart</w:t>
      </w:r>
      <w:r>
        <w:t xml:space="preserve"> </w:t>
      </w:r>
    </w:p>
    <w:p w:rsidR="004C7E5D" w:rsidRDefault="004C7E5D" w:rsidP="004C7E5D">
      <w:pPr>
        <w:widowControl w:val="0"/>
        <w:autoSpaceDE w:val="0"/>
        <w:autoSpaceDN w:val="0"/>
        <w:adjustRightInd w:val="0"/>
      </w:pPr>
    </w:p>
    <w:p w:rsidR="004C7E5D" w:rsidRDefault="004C7E5D" w:rsidP="004C7E5D">
      <w:pPr>
        <w:widowControl w:val="0"/>
        <w:autoSpaceDE w:val="0"/>
        <w:autoSpaceDN w:val="0"/>
        <w:adjustRightInd w:val="0"/>
      </w:pPr>
      <w:r>
        <w:t xml:space="preserve">The organization chart in Appendix A represents the organizational structure of the Legislative Information System. </w:t>
      </w:r>
    </w:p>
    <w:sectPr w:rsidR="004C7E5D" w:rsidSect="004C7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E5D"/>
    <w:rsid w:val="001678D1"/>
    <w:rsid w:val="002F00CB"/>
    <w:rsid w:val="004C7E5D"/>
    <w:rsid w:val="00952D2F"/>
    <w:rsid w:val="009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