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9C" w:rsidRDefault="00E97F9C" w:rsidP="00E97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F9C" w:rsidRDefault="00E97F9C" w:rsidP="00E97F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75.270  Organization</w:t>
      </w:r>
      <w:r>
        <w:t xml:space="preserve"> </w:t>
      </w:r>
    </w:p>
    <w:p w:rsidR="00E97F9C" w:rsidRDefault="00E97F9C" w:rsidP="00E97F9C">
      <w:pPr>
        <w:widowControl w:val="0"/>
        <w:autoSpaceDE w:val="0"/>
        <w:autoSpaceDN w:val="0"/>
        <w:adjustRightInd w:val="0"/>
      </w:pPr>
    </w:p>
    <w:p w:rsidR="00E97F9C" w:rsidRDefault="00E97F9C" w:rsidP="00E97F9C">
      <w:pPr>
        <w:widowControl w:val="0"/>
        <w:autoSpaceDE w:val="0"/>
        <w:autoSpaceDN w:val="0"/>
        <w:adjustRightInd w:val="0"/>
      </w:pPr>
      <w:r>
        <w:t xml:space="preserve">The Joint Committee staff is organized into an Operations Division and an Administrative Division.  The Operations Division is further organized into a Rules Review Section and a Compliance and Monitoring Section.  This organizational structure and the basic functions of each unit are presented in the Functional Organization Chart shown in Appendix A. </w:t>
      </w:r>
    </w:p>
    <w:sectPr w:rsidR="00E97F9C" w:rsidSect="00E97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F9C"/>
    <w:rsid w:val="001678D1"/>
    <w:rsid w:val="004136ED"/>
    <w:rsid w:val="00513594"/>
    <w:rsid w:val="00997A3B"/>
    <w:rsid w:val="009B1EA9"/>
    <w:rsid w:val="00C5441E"/>
    <w:rsid w:val="00E9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