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E8" w:rsidRDefault="00B277E8" w:rsidP="007C72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77E8" w:rsidRDefault="00B277E8" w:rsidP="007C72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100.730  File Copy of Peremptory Rules</w:t>
      </w:r>
      <w:r>
        <w:t xml:space="preserve"> </w:t>
      </w:r>
    </w:p>
    <w:p w:rsidR="00B277E8" w:rsidRDefault="00B277E8" w:rsidP="007C7249">
      <w:pPr>
        <w:widowControl w:val="0"/>
        <w:autoSpaceDE w:val="0"/>
        <w:autoSpaceDN w:val="0"/>
        <w:adjustRightInd w:val="0"/>
      </w:pPr>
    </w:p>
    <w:p w:rsidR="00B277E8" w:rsidRDefault="00B277E8" w:rsidP="007C7249">
      <w:pPr>
        <w:widowControl w:val="0"/>
        <w:autoSpaceDE w:val="0"/>
        <w:autoSpaceDN w:val="0"/>
        <w:adjustRightInd w:val="0"/>
      </w:pPr>
      <w:r>
        <w:t xml:space="preserve">Peremptory rules submitted for filing with the Secretary of State shall follow the procedures as outlined in Sections 100.500 and 100.510. </w:t>
      </w:r>
    </w:p>
    <w:sectPr w:rsidR="00B277E8" w:rsidSect="007C7249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77E8"/>
    <w:rsid w:val="00043C20"/>
    <w:rsid w:val="00722F11"/>
    <w:rsid w:val="00747A32"/>
    <w:rsid w:val="007C7249"/>
    <w:rsid w:val="00A16F0A"/>
    <w:rsid w:val="00B277E8"/>
    <w:rsid w:val="00CD7D7A"/>
    <w:rsid w:val="00EB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2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