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E659" w14:textId="5F099470" w:rsidR="00462218" w:rsidRDefault="00462218" w:rsidP="00CA5432">
      <w:pPr>
        <w:rPr>
          <w:rFonts w:ascii="Times New Roman" w:hAnsi="Times New Roman" w:cs="Times New Roman"/>
        </w:rPr>
      </w:pPr>
    </w:p>
    <w:p w14:paraId="0D906628" w14:textId="77ABBB5C" w:rsidR="00040D97" w:rsidRDefault="00040D97" w:rsidP="00CA5432">
      <w:pPr>
        <w:rPr>
          <w:rFonts w:ascii="Times New Roman" w:hAnsi="Times New Roman" w:cs="Times New Roman"/>
        </w:rPr>
      </w:pPr>
    </w:p>
    <w:p w14:paraId="2EE02339" w14:textId="77777777" w:rsidR="00040D97" w:rsidRDefault="00040D97" w:rsidP="00040D97">
      <w:pPr>
        <w:jc w:val="center"/>
        <w:rPr>
          <w:rFonts w:ascii="Times New Roman" w:hAnsi="Times New Roman" w:cs="Times New Roman"/>
          <w:b/>
          <w:bCs/>
          <w:sz w:val="36"/>
          <w:szCs w:val="36"/>
        </w:rPr>
      </w:pPr>
      <w:r>
        <w:rPr>
          <w:rFonts w:ascii="Times New Roman" w:hAnsi="Times New Roman" w:cs="Times New Roman"/>
          <w:b/>
          <w:bCs/>
          <w:sz w:val="36"/>
          <w:szCs w:val="36"/>
        </w:rPr>
        <w:t>2022 Illinois Department of Labor</w:t>
      </w:r>
    </w:p>
    <w:p w14:paraId="67B41F11" w14:textId="77777777" w:rsidR="00040D97" w:rsidRDefault="00040D97" w:rsidP="00040D97">
      <w:pPr>
        <w:jc w:val="center"/>
        <w:rPr>
          <w:rFonts w:ascii="Times New Roman" w:hAnsi="Times New Roman" w:cs="Times New Roman"/>
          <w:b/>
          <w:bCs/>
          <w:sz w:val="36"/>
          <w:szCs w:val="36"/>
        </w:rPr>
      </w:pPr>
      <w:r>
        <w:rPr>
          <w:rFonts w:ascii="Times New Roman" w:hAnsi="Times New Roman" w:cs="Times New Roman"/>
          <w:b/>
          <w:bCs/>
          <w:sz w:val="36"/>
          <w:szCs w:val="36"/>
        </w:rPr>
        <w:t>Project Labor Agreement Report</w:t>
      </w:r>
    </w:p>
    <w:p w14:paraId="0418B575" w14:textId="77777777" w:rsidR="00040D97" w:rsidRDefault="00040D97" w:rsidP="00040D97">
      <w:pPr>
        <w:jc w:val="center"/>
        <w:rPr>
          <w:rFonts w:ascii="Times New Roman" w:hAnsi="Times New Roman" w:cs="Times New Roman"/>
          <w:b/>
          <w:bCs/>
          <w:sz w:val="36"/>
          <w:szCs w:val="36"/>
        </w:rPr>
      </w:pPr>
    </w:p>
    <w:p w14:paraId="42F5FAA8" w14:textId="36D8CAEA" w:rsidR="00040D97" w:rsidRDefault="00040D97" w:rsidP="00040D97">
      <w:pPr>
        <w:rPr>
          <w:rFonts w:ascii="Times New Roman" w:hAnsi="Times New Roman" w:cs="Times New Roman"/>
        </w:rPr>
      </w:pPr>
      <w:r>
        <w:rPr>
          <w:rFonts w:ascii="Times New Roman" w:hAnsi="Times New Roman" w:cs="Times New Roman"/>
        </w:rPr>
        <w:t>Pursuant to the Illinois Project Labor Agreements Act (30 ILCS 571), any State department, agency, authority, board, or instrumentality that has a project labor agreement in connection with a public works project shall prepare a quarterly report and submit the report to the Illinois Department of Labor.  The Illinois Department of Labor is then responsible for reporting annually to the General Assembly and the Governor on the data collected.</w:t>
      </w:r>
    </w:p>
    <w:p w14:paraId="4B99E171" w14:textId="77777777" w:rsidR="00040D97" w:rsidRDefault="00040D97" w:rsidP="00040D97">
      <w:pPr>
        <w:rPr>
          <w:rFonts w:ascii="Times New Roman" w:hAnsi="Times New Roman" w:cs="Times New Roman"/>
        </w:rPr>
      </w:pPr>
    </w:p>
    <w:p w14:paraId="719DDEDD" w14:textId="12254243" w:rsidR="00040D97" w:rsidRDefault="00040D97" w:rsidP="00040D97">
      <w:pPr>
        <w:rPr>
          <w:rFonts w:ascii="Times New Roman" w:hAnsi="Times New Roman" w:cs="Times New Roman"/>
        </w:rPr>
      </w:pPr>
      <w:r>
        <w:rPr>
          <w:rFonts w:ascii="Times New Roman" w:hAnsi="Times New Roman" w:cs="Times New Roman"/>
        </w:rPr>
        <w:t xml:space="preserve">The purpose of the report is to highlight </w:t>
      </w:r>
      <w:r w:rsidR="002E02D7">
        <w:rPr>
          <w:rFonts w:ascii="Times New Roman" w:hAnsi="Times New Roman" w:cs="Times New Roman"/>
        </w:rPr>
        <w:t>the number of</w:t>
      </w:r>
      <w:r>
        <w:rPr>
          <w:rFonts w:ascii="Times New Roman" w:hAnsi="Times New Roman" w:cs="Times New Roman"/>
        </w:rPr>
        <w:t xml:space="preserve"> minorities employed on construction projects that utilize a project labor agreement.  A project labor agreement is a form of pre-hire collective bargaining agreement covering all terms and conditions of employment on a specific project.</w:t>
      </w:r>
    </w:p>
    <w:p w14:paraId="24E10860" w14:textId="77777777" w:rsidR="00040D97" w:rsidRDefault="00040D97" w:rsidP="00040D97">
      <w:pPr>
        <w:rPr>
          <w:rFonts w:ascii="Times New Roman" w:hAnsi="Times New Roman" w:cs="Times New Roman"/>
        </w:rPr>
      </w:pPr>
    </w:p>
    <w:p w14:paraId="507BAA56" w14:textId="3A6BBE69" w:rsidR="00040D97" w:rsidRDefault="00040D97" w:rsidP="00040D97">
      <w:pPr>
        <w:rPr>
          <w:rStyle w:val="HTMLCode"/>
          <w:rFonts w:ascii="Times New Roman" w:eastAsiaTheme="minorHAnsi" w:hAnsi="Times New Roman" w:cs="Times New Roman"/>
          <w:i/>
          <w:iCs/>
          <w:color w:val="000000"/>
          <w:shd w:val="clear" w:color="auto" w:fill="FFFFFF"/>
        </w:rPr>
      </w:pPr>
      <w:r w:rsidRPr="003755B8">
        <w:rPr>
          <w:rStyle w:val="HTMLCode"/>
          <w:rFonts w:ascii="Times New Roman" w:eastAsiaTheme="minorEastAsia" w:hAnsi="Times New Roman" w:cs="Times New Roman"/>
          <w:i/>
          <w:iCs/>
          <w:color w:val="000000"/>
          <w:sz w:val="24"/>
          <w:szCs w:val="24"/>
          <w:shd w:val="clear" w:color="auto" w:fill="FFFFFF"/>
        </w:rPr>
        <w:t>(30 ILCS 571/37)</w:t>
      </w:r>
      <w:r w:rsidRPr="003755B8">
        <w:rPr>
          <w:rFonts w:ascii="Times New Roman" w:hAnsi="Times New Roman" w:cs="Times New Roman"/>
          <w:i/>
          <w:iCs/>
          <w:color w:val="000000"/>
        </w:rPr>
        <w:br/>
      </w:r>
      <w:r w:rsidRPr="003755B8">
        <w:rPr>
          <w:rStyle w:val="HTMLCode"/>
          <w:rFonts w:ascii="Times New Roman" w:eastAsiaTheme="minorEastAsia" w:hAnsi="Times New Roman" w:cs="Times New Roman"/>
          <w:i/>
          <w:iCs/>
          <w:color w:val="000000"/>
          <w:sz w:val="24"/>
          <w:szCs w:val="24"/>
          <w:shd w:val="clear" w:color="auto" w:fill="FFFFFF"/>
        </w:rPr>
        <w:t>    Sec. 37. Quarterly report; annual report. A State department, agency, authority, board, or instrumentality that has a project labor agreement in connection with a public works project shall prepare a quarterly report that includes workforce participation under the agreement by minorities and women as defined under the Business Enterprise for Minorities, Women, and Persons with Disabilities Act. These reports shall be submitted to the Illinois Department of Labor. The Illinois Department of Labor shall submit to the General Assembly and the Governor an annual report that details the number of minorities and women employed under all public labor agreements within the State.</w:t>
      </w:r>
      <w:r w:rsidRPr="003755B8">
        <w:rPr>
          <w:rFonts w:ascii="Times New Roman" w:hAnsi="Times New Roman" w:cs="Times New Roman"/>
          <w:i/>
          <w:iCs/>
          <w:color w:val="000000"/>
        </w:rPr>
        <w:br/>
      </w:r>
      <w:r w:rsidRPr="003755B8">
        <w:rPr>
          <w:rStyle w:val="HTMLCode"/>
          <w:rFonts w:ascii="Times New Roman" w:eastAsiaTheme="minorEastAsia" w:hAnsi="Times New Roman" w:cs="Times New Roman"/>
          <w:i/>
          <w:iCs/>
          <w:color w:val="000000"/>
          <w:sz w:val="24"/>
          <w:szCs w:val="24"/>
          <w:shd w:val="clear" w:color="auto" w:fill="FFFFFF"/>
        </w:rPr>
        <w:t>(Source: P.A. 100-391, eff. 8-25-17)</w:t>
      </w:r>
    </w:p>
    <w:p w14:paraId="33428E5E" w14:textId="77777777" w:rsidR="00040D97" w:rsidRDefault="00040D97" w:rsidP="00040D97">
      <w:pPr>
        <w:rPr>
          <w:rFonts w:ascii="Times New Roman" w:hAnsi="Times New Roman" w:cs="Times New Roman"/>
        </w:rPr>
      </w:pPr>
    </w:p>
    <w:p w14:paraId="0E02585D" w14:textId="77777777" w:rsidR="00040D97" w:rsidRDefault="00040D97" w:rsidP="00040D97">
      <w:pPr>
        <w:rPr>
          <w:rFonts w:ascii="Times New Roman" w:hAnsi="Times New Roman" w:cs="Times New Roman"/>
        </w:rPr>
      </w:pPr>
    </w:p>
    <w:p w14:paraId="1B5C7FEC" w14:textId="3AC64245" w:rsidR="00040D97" w:rsidRPr="003755B8" w:rsidRDefault="00040D97" w:rsidP="00040D97">
      <w:pPr>
        <w:rPr>
          <w:rFonts w:ascii="Times New Roman" w:hAnsi="Times New Roman" w:cs="Times New Roman"/>
        </w:rPr>
      </w:pPr>
      <w:r>
        <w:rPr>
          <w:rFonts w:ascii="Times New Roman" w:hAnsi="Times New Roman" w:cs="Times New Roman"/>
        </w:rPr>
        <w:t xml:space="preserve">The data </w:t>
      </w:r>
      <w:r w:rsidR="002E02D7">
        <w:rPr>
          <w:rFonts w:ascii="Times New Roman" w:hAnsi="Times New Roman" w:cs="Times New Roman"/>
        </w:rPr>
        <w:t xml:space="preserve">contained in this report </w:t>
      </w:r>
      <w:r>
        <w:rPr>
          <w:rFonts w:ascii="Times New Roman" w:hAnsi="Times New Roman" w:cs="Times New Roman"/>
        </w:rPr>
        <w:t>is from April of 2021 through March of 2022.</w:t>
      </w:r>
    </w:p>
    <w:p w14:paraId="123FA66B" w14:textId="77777777" w:rsidR="00040D97" w:rsidRDefault="00040D97" w:rsidP="00CA5432">
      <w:pPr>
        <w:rPr>
          <w:rFonts w:ascii="Times New Roman" w:hAnsi="Times New Roman" w:cs="Times New Roman"/>
        </w:rPr>
      </w:pPr>
    </w:p>
    <w:p w14:paraId="402C304C" w14:textId="7A45B0D1" w:rsidR="00CE6E84" w:rsidRDefault="00CE6E84" w:rsidP="00CA5432">
      <w:pPr>
        <w:rPr>
          <w:rFonts w:ascii="Times New Roman" w:hAnsi="Times New Roman" w:cs="Times New Roman"/>
        </w:rPr>
      </w:pPr>
    </w:p>
    <w:p w14:paraId="5E9D40A1" w14:textId="51C54052" w:rsidR="00CE6E84" w:rsidRDefault="00CE6E84" w:rsidP="00CA5432">
      <w:pPr>
        <w:rPr>
          <w:rFonts w:ascii="Times New Roman" w:hAnsi="Times New Roman" w:cs="Times New Roman"/>
        </w:rPr>
      </w:pPr>
    </w:p>
    <w:p w14:paraId="58CE64F2" w14:textId="77777777" w:rsidR="009A28FA" w:rsidRPr="00A54886" w:rsidRDefault="009A28FA" w:rsidP="00CA5432">
      <w:pPr>
        <w:rPr>
          <w:rFonts w:ascii="Times New Roman" w:hAnsi="Times New Roman" w:cs="Times New Roman"/>
        </w:rPr>
      </w:pPr>
    </w:p>
    <w:sectPr w:rsidR="009A28FA" w:rsidRPr="00A54886" w:rsidSect="00486D84">
      <w:headerReference w:type="even" r:id="rId6"/>
      <w:headerReference w:type="default" r:id="rId7"/>
      <w:footerReference w:type="even" r:id="rId8"/>
      <w:footerReference w:type="default" r:id="rId9"/>
      <w:headerReference w:type="first" r:id="rId10"/>
      <w:footerReference w:type="first" r:id="rId11"/>
      <w:pgSz w:w="12240" w:h="15840"/>
      <w:pgMar w:top="1440" w:right="1354" w:bottom="1440" w:left="1354" w:header="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76FB" w14:textId="77777777" w:rsidR="00367FEF" w:rsidRDefault="00367FEF" w:rsidP="00E17D69">
      <w:r>
        <w:separator/>
      </w:r>
    </w:p>
  </w:endnote>
  <w:endnote w:type="continuationSeparator" w:id="0">
    <w:p w14:paraId="2BAF5475" w14:textId="77777777" w:rsidR="00367FEF" w:rsidRDefault="00367FEF" w:rsidP="00E1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altName w:val="DokChampa"/>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F7F2" w14:textId="77777777" w:rsidR="00214563" w:rsidRDefault="0021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AF0F" w14:textId="77777777" w:rsidR="00214563" w:rsidRDefault="0021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jc w:val="center"/>
      <w:tblLook w:val="01E0" w:firstRow="1" w:lastRow="1" w:firstColumn="1" w:lastColumn="1" w:noHBand="0" w:noVBand="0"/>
    </w:tblPr>
    <w:tblGrid>
      <w:gridCol w:w="3210"/>
      <w:gridCol w:w="3242"/>
      <w:gridCol w:w="3466"/>
    </w:tblGrid>
    <w:tr w:rsidR="00A81A61" w:rsidRPr="003263CA" w14:paraId="582D8BA8" w14:textId="77777777" w:rsidTr="005C5868">
      <w:trPr>
        <w:jc w:val="center"/>
      </w:trPr>
      <w:tc>
        <w:tcPr>
          <w:tcW w:w="3210" w:type="dxa"/>
        </w:tcPr>
        <w:p w14:paraId="0F40EFE9" w14:textId="638DED65" w:rsidR="00A81A61" w:rsidRPr="003263CA" w:rsidRDefault="00A81A61" w:rsidP="00A81A61">
          <w:pPr>
            <w:pStyle w:val="Footer"/>
            <w:jc w:val="center"/>
            <w:rPr>
              <w:color w:val="244061" w:themeColor="accent1" w:themeShade="80"/>
              <w:sz w:val="16"/>
              <w:szCs w:val="16"/>
            </w:rPr>
          </w:pPr>
          <w:r w:rsidRPr="00862886">
            <w:rPr>
              <w:color w:val="244061" w:themeColor="accent1" w:themeShade="80"/>
              <w:sz w:val="16"/>
              <w:szCs w:val="16"/>
            </w:rPr>
            <w:t>Lincoln Tower Plaza</w:t>
          </w:r>
        </w:p>
      </w:tc>
      <w:tc>
        <w:tcPr>
          <w:tcW w:w="3242" w:type="dxa"/>
        </w:tcPr>
        <w:p w14:paraId="49407A69" w14:textId="56D9251D"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Michael A Bilandic Building</w:t>
          </w:r>
        </w:p>
      </w:tc>
      <w:tc>
        <w:tcPr>
          <w:tcW w:w="3466" w:type="dxa"/>
        </w:tcPr>
        <w:p w14:paraId="49A4F3E6" w14:textId="6371B92D"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Regional Office Building</w:t>
          </w:r>
        </w:p>
      </w:tc>
    </w:tr>
    <w:tr w:rsidR="00A81A61" w:rsidRPr="003263CA" w14:paraId="462F576D" w14:textId="77777777" w:rsidTr="005C5868">
      <w:trPr>
        <w:jc w:val="center"/>
      </w:trPr>
      <w:tc>
        <w:tcPr>
          <w:tcW w:w="3210" w:type="dxa"/>
        </w:tcPr>
        <w:p w14:paraId="66538259" w14:textId="1CD9E5EA" w:rsidR="00A81A61" w:rsidRPr="003263CA" w:rsidRDefault="00A81A61" w:rsidP="00A81A61">
          <w:pPr>
            <w:pStyle w:val="Footer"/>
            <w:jc w:val="center"/>
            <w:rPr>
              <w:color w:val="244061" w:themeColor="accent1" w:themeShade="80"/>
              <w:sz w:val="16"/>
              <w:szCs w:val="16"/>
            </w:rPr>
          </w:pPr>
          <w:r w:rsidRPr="00862886">
            <w:rPr>
              <w:color w:val="244061" w:themeColor="accent1" w:themeShade="80"/>
              <w:sz w:val="16"/>
              <w:szCs w:val="16"/>
            </w:rPr>
            <w:t>524 South 2nd St</w:t>
          </w:r>
          <w:r>
            <w:rPr>
              <w:color w:val="244061" w:themeColor="accent1" w:themeShade="80"/>
              <w:sz w:val="16"/>
              <w:szCs w:val="16"/>
            </w:rPr>
            <w:t xml:space="preserve">reet, </w:t>
          </w:r>
          <w:r w:rsidRPr="00862886">
            <w:rPr>
              <w:color w:val="244061" w:themeColor="accent1" w:themeShade="80"/>
              <w:sz w:val="16"/>
              <w:szCs w:val="16"/>
            </w:rPr>
            <w:t>Suite 400</w:t>
          </w:r>
        </w:p>
      </w:tc>
      <w:tc>
        <w:tcPr>
          <w:tcW w:w="3242" w:type="dxa"/>
        </w:tcPr>
        <w:p w14:paraId="2CBC73C3" w14:textId="6E56116E"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160 North LaSalle, Suite C-1300</w:t>
          </w:r>
        </w:p>
      </w:tc>
      <w:tc>
        <w:tcPr>
          <w:tcW w:w="3466" w:type="dxa"/>
        </w:tcPr>
        <w:p w14:paraId="54B1DB1A" w14:textId="76E7977A"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2309 West Main Street, Suite 115</w:t>
          </w:r>
        </w:p>
      </w:tc>
    </w:tr>
    <w:tr w:rsidR="00A81A61" w:rsidRPr="003263CA" w14:paraId="63B93A50" w14:textId="77777777" w:rsidTr="005C5868">
      <w:trPr>
        <w:jc w:val="center"/>
      </w:trPr>
      <w:tc>
        <w:tcPr>
          <w:tcW w:w="3210" w:type="dxa"/>
        </w:tcPr>
        <w:p w14:paraId="2139C86A" w14:textId="2DAB2087"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 xml:space="preserve">Springfield, Illinois </w:t>
          </w:r>
          <w:r w:rsidRPr="00862886">
            <w:rPr>
              <w:color w:val="244061" w:themeColor="accent1" w:themeShade="80"/>
              <w:sz w:val="16"/>
              <w:szCs w:val="16"/>
            </w:rPr>
            <w:t>62701</w:t>
          </w:r>
          <w:r>
            <w:rPr>
              <w:color w:val="244061" w:themeColor="accent1" w:themeShade="80"/>
              <w:sz w:val="16"/>
              <w:szCs w:val="16"/>
            </w:rPr>
            <w:softHyphen/>
          </w:r>
        </w:p>
      </w:tc>
      <w:tc>
        <w:tcPr>
          <w:tcW w:w="3242" w:type="dxa"/>
        </w:tcPr>
        <w:p w14:paraId="40CA5FDA" w14:textId="190BA29A"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Chicago, Illinois 60601-3150</w:t>
          </w:r>
        </w:p>
      </w:tc>
      <w:tc>
        <w:tcPr>
          <w:tcW w:w="3466" w:type="dxa"/>
        </w:tcPr>
        <w:p w14:paraId="2ECC03C4" w14:textId="6E69B354"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Marion, Illinois 62959</w:t>
          </w:r>
        </w:p>
      </w:tc>
    </w:tr>
    <w:tr w:rsidR="00A81A61" w:rsidRPr="003263CA" w14:paraId="267F1BD2" w14:textId="77777777" w:rsidTr="005C5868">
      <w:trPr>
        <w:jc w:val="center"/>
      </w:trPr>
      <w:tc>
        <w:tcPr>
          <w:tcW w:w="3210" w:type="dxa"/>
        </w:tcPr>
        <w:p w14:paraId="53FEED2C" w14:textId="68117EFF"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(217) 782-6206</w:t>
          </w:r>
        </w:p>
      </w:tc>
      <w:tc>
        <w:tcPr>
          <w:tcW w:w="3242" w:type="dxa"/>
        </w:tcPr>
        <w:p w14:paraId="75DD9037" w14:textId="0241E29E"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(312) 793-2800</w:t>
          </w:r>
        </w:p>
      </w:tc>
      <w:tc>
        <w:tcPr>
          <w:tcW w:w="3466" w:type="dxa"/>
        </w:tcPr>
        <w:p w14:paraId="4FF28903" w14:textId="349F830B"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(618) 993-7090</w:t>
          </w:r>
        </w:p>
      </w:tc>
    </w:tr>
    <w:tr w:rsidR="00A81A61" w:rsidRPr="003263CA" w14:paraId="1DFAA095" w14:textId="77777777" w:rsidTr="005C5868">
      <w:trPr>
        <w:trHeight w:val="80"/>
        <w:jc w:val="center"/>
      </w:trPr>
      <w:tc>
        <w:tcPr>
          <w:tcW w:w="3210" w:type="dxa"/>
        </w:tcPr>
        <w:p w14:paraId="755B180F" w14:textId="667306F3"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Fax: (217) 782-0596</w:t>
          </w:r>
        </w:p>
      </w:tc>
      <w:tc>
        <w:tcPr>
          <w:tcW w:w="3242" w:type="dxa"/>
        </w:tcPr>
        <w:p w14:paraId="42B6F04F" w14:textId="65DE93D5"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Fax:</w:t>
          </w:r>
          <w:r>
            <w:rPr>
              <w:color w:val="244061" w:themeColor="accent1" w:themeShade="80"/>
              <w:sz w:val="16"/>
              <w:szCs w:val="16"/>
            </w:rPr>
            <w:t xml:space="preserve"> </w:t>
          </w:r>
          <w:r w:rsidRPr="003263CA">
            <w:rPr>
              <w:color w:val="244061" w:themeColor="accent1" w:themeShade="80"/>
              <w:sz w:val="16"/>
              <w:szCs w:val="16"/>
            </w:rPr>
            <w:t>(312) 793-5257</w:t>
          </w:r>
        </w:p>
      </w:tc>
      <w:tc>
        <w:tcPr>
          <w:tcW w:w="3466" w:type="dxa"/>
        </w:tcPr>
        <w:p w14:paraId="7F2DE016" w14:textId="26DA4060" w:rsidR="00A81A61" w:rsidRPr="003263CA" w:rsidRDefault="00A81A61" w:rsidP="00A81A61">
          <w:pPr>
            <w:pStyle w:val="Footer"/>
            <w:jc w:val="center"/>
            <w:rPr>
              <w:color w:val="244061" w:themeColor="accent1" w:themeShade="80"/>
              <w:sz w:val="16"/>
              <w:szCs w:val="16"/>
            </w:rPr>
          </w:pPr>
          <w:r w:rsidRPr="003263CA">
            <w:rPr>
              <w:color w:val="244061" w:themeColor="accent1" w:themeShade="80"/>
              <w:sz w:val="16"/>
              <w:szCs w:val="16"/>
            </w:rPr>
            <w:t>Fax: (618) 993-7258</w:t>
          </w:r>
        </w:p>
      </w:tc>
    </w:tr>
  </w:tbl>
  <w:p w14:paraId="0320B18E" w14:textId="0B9C57B2" w:rsidR="00CE6E84" w:rsidRDefault="00CE6E84" w:rsidP="00CE6E84">
    <w:pPr>
      <w:pStyle w:val="Footer"/>
      <w:tabs>
        <w:tab w:val="clear" w:pos="4320"/>
        <w:tab w:val="clear" w:pos="8640"/>
        <w:tab w:val="left" w:pos="3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4E16" w14:textId="77777777" w:rsidR="00367FEF" w:rsidRDefault="00367FEF" w:rsidP="00E17D69">
      <w:r>
        <w:separator/>
      </w:r>
    </w:p>
  </w:footnote>
  <w:footnote w:type="continuationSeparator" w:id="0">
    <w:p w14:paraId="1AB5FB0E" w14:textId="77777777" w:rsidR="00367FEF" w:rsidRDefault="00367FEF" w:rsidP="00E1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7B31" w14:textId="77777777" w:rsidR="00214563" w:rsidRDefault="00214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723E" w14:textId="08FF665A" w:rsidR="00E17D69" w:rsidRDefault="00E17D69" w:rsidP="005259AF">
    <w:pPr>
      <w:pStyle w:val="Header"/>
      <w:ind w:left="-1350" w:righ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7DE0" w14:textId="75498C4E" w:rsidR="00DD28D5" w:rsidRDefault="00DD28D5" w:rsidP="00DD28D5">
    <w:pPr>
      <w:pStyle w:val="Header"/>
      <w:ind w:left="-1350"/>
    </w:pPr>
    <w:r>
      <w:rPr>
        <w:noProof/>
      </w:rPr>
      <w:drawing>
        <wp:inline distT="0" distB="0" distL="0" distR="0" wp14:anchorId="219882A6" wp14:editId="6062E92F">
          <wp:extent cx="7762441" cy="2054764"/>
          <wp:effectExtent l="0" t="0" r="0" b="3175"/>
          <wp:docPr id="24" name="Picture 24" descr="Illinois Department of Labor&#10;JB Pritzker&#10;Governor&#10;&#10;Jane Flanagan&#10;Acting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llinois Department of Labor&#10;JB Pritzker&#10;Governor&#10;&#10;Jane Flanagan&#10;Acting Director"/>
                  <pic:cNvPicPr/>
                </pic:nvPicPr>
                <pic:blipFill>
                  <a:blip r:embed="rId1"/>
                  <a:stretch>
                    <a:fillRect/>
                  </a:stretch>
                </pic:blipFill>
                <pic:spPr>
                  <a:xfrm>
                    <a:off x="0" y="0"/>
                    <a:ext cx="7762441" cy="20547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69"/>
    <w:rsid w:val="00023799"/>
    <w:rsid w:val="00040D97"/>
    <w:rsid w:val="00043D5A"/>
    <w:rsid w:val="00055847"/>
    <w:rsid w:val="00067028"/>
    <w:rsid w:val="000C7B86"/>
    <w:rsid w:val="001626BD"/>
    <w:rsid w:val="00180439"/>
    <w:rsid w:val="001C06FB"/>
    <w:rsid w:val="00214563"/>
    <w:rsid w:val="002152B0"/>
    <w:rsid w:val="002376B5"/>
    <w:rsid w:val="00255D88"/>
    <w:rsid w:val="0027789B"/>
    <w:rsid w:val="00284CD2"/>
    <w:rsid w:val="002966A9"/>
    <w:rsid w:val="002B42EB"/>
    <w:rsid w:val="002E02D7"/>
    <w:rsid w:val="002F4F46"/>
    <w:rsid w:val="0030185C"/>
    <w:rsid w:val="003248D2"/>
    <w:rsid w:val="00361B8F"/>
    <w:rsid w:val="00367FEF"/>
    <w:rsid w:val="00385442"/>
    <w:rsid w:val="00416D4E"/>
    <w:rsid w:val="00462218"/>
    <w:rsid w:val="00486D84"/>
    <w:rsid w:val="004D5188"/>
    <w:rsid w:val="004D705B"/>
    <w:rsid w:val="005037BA"/>
    <w:rsid w:val="005259AF"/>
    <w:rsid w:val="005A3D69"/>
    <w:rsid w:val="005D2739"/>
    <w:rsid w:val="005F5050"/>
    <w:rsid w:val="006C6AB7"/>
    <w:rsid w:val="0072163B"/>
    <w:rsid w:val="00736DC8"/>
    <w:rsid w:val="00753B3D"/>
    <w:rsid w:val="0077195D"/>
    <w:rsid w:val="007831E4"/>
    <w:rsid w:val="00797913"/>
    <w:rsid w:val="007C1906"/>
    <w:rsid w:val="008151DE"/>
    <w:rsid w:val="008151F8"/>
    <w:rsid w:val="00830786"/>
    <w:rsid w:val="00881E58"/>
    <w:rsid w:val="008919B6"/>
    <w:rsid w:val="00901638"/>
    <w:rsid w:val="00906696"/>
    <w:rsid w:val="00970324"/>
    <w:rsid w:val="009A28FA"/>
    <w:rsid w:val="00A16A0F"/>
    <w:rsid w:val="00A2095A"/>
    <w:rsid w:val="00A311F8"/>
    <w:rsid w:val="00A54886"/>
    <w:rsid w:val="00A614B2"/>
    <w:rsid w:val="00A81A61"/>
    <w:rsid w:val="00AD4ED5"/>
    <w:rsid w:val="00AF6E0A"/>
    <w:rsid w:val="00B76A31"/>
    <w:rsid w:val="00B83686"/>
    <w:rsid w:val="00B84658"/>
    <w:rsid w:val="00BB4115"/>
    <w:rsid w:val="00BD29DC"/>
    <w:rsid w:val="00BE35C2"/>
    <w:rsid w:val="00C01E8A"/>
    <w:rsid w:val="00C11C01"/>
    <w:rsid w:val="00C20D00"/>
    <w:rsid w:val="00C31350"/>
    <w:rsid w:val="00C510F1"/>
    <w:rsid w:val="00C66B69"/>
    <w:rsid w:val="00C82CC7"/>
    <w:rsid w:val="00CA5432"/>
    <w:rsid w:val="00CB1D17"/>
    <w:rsid w:val="00CE6E84"/>
    <w:rsid w:val="00D3319F"/>
    <w:rsid w:val="00DD28D5"/>
    <w:rsid w:val="00DE3847"/>
    <w:rsid w:val="00DF3E21"/>
    <w:rsid w:val="00DF6791"/>
    <w:rsid w:val="00E07279"/>
    <w:rsid w:val="00E17D69"/>
    <w:rsid w:val="00E65D08"/>
    <w:rsid w:val="00EA1AB2"/>
    <w:rsid w:val="00EB2796"/>
    <w:rsid w:val="00ED0CED"/>
    <w:rsid w:val="00ED56BC"/>
    <w:rsid w:val="00F21270"/>
    <w:rsid w:val="00F5630D"/>
    <w:rsid w:val="00F66229"/>
    <w:rsid w:val="00FB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78560"/>
  <w14:defaultImageDpi w14:val="32767"/>
  <w15:docId w15:val="{2DE95AFE-233D-43C7-8A3F-E63A2A50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D69"/>
    <w:pPr>
      <w:tabs>
        <w:tab w:val="center" w:pos="4320"/>
        <w:tab w:val="right" w:pos="8640"/>
      </w:tabs>
    </w:pPr>
  </w:style>
  <w:style w:type="character" w:customStyle="1" w:styleId="HeaderChar">
    <w:name w:val="Header Char"/>
    <w:basedOn w:val="DefaultParagraphFont"/>
    <w:link w:val="Header"/>
    <w:uiPriority w:val="99"/>
    <w:rsid w:val="00E17D69"/>
  </w:style>
  <w:style w:type="paragraph" w:styleId="Footer">
    <w:name w:val="footer"/>
    <w:basedOn w:val="Normal"/>
    <w:link w:val="FooterChar"/>
    <w:unhideWhenUsed/>
    <w:rsid w:val="00E17D69"/>
    <w:pPr>
      <w:tabs>
        <w:tab w:val="center" w:pos="4320"/>
        <w:tab w:val="right" w:pos="8640"/>
      </w:tabs>
    </w:pPr>
  </w:style>
  <w:style w:type="character" w:customStyle="1" w:styleId="FooterChar">
    <w:name w:val="Footer Char"/>
    <w:basedOn w:val="DefaultParagraphFont"/>
    <w:link w:val="Footer"/>
    <w:uiPriority w:val="99"/>
    <w:rsid w:val="00E17D69"/>
  </w:style>
  <w:style w:type="paragraph" w:styleId="BalloonText">
    <w:name w:val="Balloon Text"/>
    <w:basedOn w:val="Normal"/>
    <w:link w:val="BalloonTextChar"/>
    <w:uiPriority w:val="99"/>
    <w:semiHidden/>
    <w:unhideWhenUsed/>
    <w:rsid w:val="00E17D69"/>
    <w:rPr>
      <w:rFonts w:ascii="Lucida Grande" w:hAnsi="Lucida Grande"/>
      <w:sz w:val="18"/>
      <w:szCs w:val="18"/>
    </w:rPr>
  </w:style>
  <w:style w:type="character" w:customStyle="1" w:styleId="BalloonTextChar">
    <w:name w:val="Balloon Text Char"/>
    <w:basedOn w:val="DefaultParagraphFont"/>
    <w:link w:val="BalloonText"/>
    <w:uiPriority w:val="99"/>
    <w:semiHidden/>
    <w:rsid w:val="00E17D69"/>
    <w:rPr>
      <w:rFonts w:ascii="Lucida Grande" w:hAnsi="Lucida Grande"/>
      <w:sz w:val="18"/>
      <w:szCs w:val="18"/>
    </w:rPr>
  </w:style>
  <w:style w:type="paragraph" w:styleId="BodyText">
    <w:name w:val="Body Text"/>
    <w:basedOn w:val="Normal"/>
    <w:link w:val="BodyTextChar"/>
    <w:semiHidden/>
    <w:rsid w:val="005A3D69"/>
    <w:pPr>
      <w:jc w:val="both"/>
    </w:pPr>
    <w:rPr>
      <w:rFonts w:ascii="Arial" w:eastAsia="Times New Roman" w:hAnsi="Arial" w:cs="Arial"/>
      <w:sz w:val="22"/>
    </w:rPr>
  </w:style>
  <w:style w:type="character" w:customStyle="1" w:styleId="BodyTextChar">
    <w:name w:val="Body Text Char"/>
    <w:basedOn w:val="DefaultParagraphFont"/>
    <w:link w:val="BodyText"/>
    <w:semiHidden/>
    <w:rsid w:val="005A3D69"/>
    <w:rPr>
      <w:rFonts w:ascii="Arial" w:eastAsia="Times New Roman" w:hAnsi="Arial" w:cs="Arial"/>
      <w:sz w:val="22"/>
    </w:rPr>
  </w:style>
  <w:style w:type="character" w:styleId="HTMLCode">
    <w:name w:val="HTML Code"/>
    <w:basedOn w:val="DefaultParagraphFont"/>
    <w:uiPriority w:val="99"/>
    <w:semiHidden/>
    <w:unhideWhenUsed/>
    <w:rsid w:val="00040D9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6872">
      <w:bodyDiv w:val="1"/>
      <w:marLeft w:val="0"/>
      <w:marRight w:val="0"/>
      <w:marTop w:val="0"/>
      <w:marBottom w:val="0"/>
      <w:divBdr>
        <w:top w:val="none" w:sz="0" w:space="0" w:color="auto"/>
        <w:left w:val="none" w:sz="0" w:space="0" w:color="auto"/>
        <w:bottom w:val="none" w:sz="0" w:space="0" w:color="auto"/>
        <w:right w:val="none" w:sz="0" w:space="0" w:color="auto"/>
      </w:divBdr>
    </w:div>
    <w:div w:id="1133905070">
      <w:bodyDiv w:val="1"/>
      <w:marLeft w:val="0"/>
      <w:marRight w:val="0"/>
      <w:marTop w:val="0"/>
      <w:marBottom w:val="0"/>
      <w:divBdr>
        <w:top w:val="none" w:sz="0" w:space="0" w:color="auto"/>
        <w:left w:val="none" w:sz="0" w:space="0" w:color="auto"/>
        <w:bottom w:val="none" w:sz="0" w:space="0" w:color="auto"/>
        <w:right w:val="none" w:sz="0" w:space="0" w:color="auto"/>
      </w:divBdr>
    </w:div>
    <w:div w:id="1266763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IOCI Graphics</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McGrady</dc:creator>
  <cp:lastModifiedBy>Keller, Jason</cp:lastModifiedBy>
  <cp:revision>3</cp:revision>
  <cp:lastPrinted>2017-09-14T20:46:00Z</cp:lastPrinted>
  <dcterms:created xsi:type="dcterms:W3CDTF">2022-07-08T20:42:00Z</dcterms:created>
  <dcterms:modified xsi:type="dcterms:W3CDTF">2022-07-14T21:48:00Z</dcterms:modified>
</cp:coreProperties>
</file>